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41C" w:rsidRDefault="00F9241C">
      <w:pPr>
        <w:widowControl w:val="0"/>
        <w:pBdr>
          <w:top w:val="nil"/>
          <w:left w:val="nil"/>
          <w:bottom w:val="nil"/>
          <w:right w:val="nil"/>
          <w:between w:val="nil"/>
        </w:pBdr>
        <w:spacing w:line="259" w:lineRule="auto"/>
        <w:ind w:left="835" w:hanging="835"/>
        <w:jc w:val="both"/>
        <w:rPr>
          <w:rFonts w:ascii="Times New Roman" w:eastAsia="Times New Roman" w:hAnsi="Times New Roman" w:cs="Times New Roman"/>
          <w:b/>
          <w:i/>
          <w:color w:val="000000"/>
          <w:sz w:val="21"/>
          <w:szCs w:val="21"/>
        </w:rPr>
      </w:pPr>
    </w:p>
    <w:p w:rsidR="00F9241C" w:rsidRDefault="00F9241C">
      <w:pPr>
        <w:widowControl w:val="0"/>
        <w:pBdr>
          <w:top w:val="nil"/>
          <w:left w:val="nil"/>
          <w:bottom w:val="nil"/>
          <w:right w:val="nil"/>
          <w:between w:val="nil"/>
        </w:pBdr>
        <w:spacing w:line="259" w:lineRule="auto"/>
        <w:ind w:left="835" w:hanging="835"/>
        <w:jc w:val="both"/>
        <w:rPr>
          <w:rFonts w:ascii="Times New Roman" w:eastAsia="Times New Roman" w:hAnsi="Times New Roman" w:cs="Times New Roman"/>
          <w:b/>
          <w:i/>
          <w:color w:val="000000"/>
          <w:sz w:val="21"/>
          <w:szCs w:val="21"/>
        </w:rPr>
      </w:pPr>
    </w:p>
    <w:p w:rsidR="00F9241C" w:rsidRDefault="00F9241C">
      <w:pPr>
        <w:widowControl w:val="0"/>
        <w:pBdr>
          <w:top w:val="nil"/>
          <w:left w:val="nil"/>
          <w:bottom w:val="nil"/>
          <w:right w:val="nil"/>
          <w:between w:val="nil"/>
        </w:pBdr>
        <w:spacing w:line="259" w:lineRule="auto"/>
        <w:ind w:left="835" w:hanging="835"/>
        <w:jc w:val="center"/>
        <w:rPr>
          <w:rFonts w:ascii="Times New Roman" w:eastAsia="Times New Roman" w:hAnsi="Times New Roman" w:cs="Times New Roman"/>
          <w:b/>
          <w:i/>
          <w:color w:val="000000"/>
          <w:sz w:val="21"/>
          <w:szCs w:val="21"/>
        </w:rPr>
      </w:pPr>
    </w:p>
    <w:p w:rsidR="00F9241C" w:rsidRDefault="006E4B77">
      <w:pPr>
        <w:widowControl w:val="0"/>
        <w:pBdr>
          <w:top w:val="nil"/>
          <w:left w:val="nil"/>
          <w:bottom w:val="nil"/>
          <w:right w:val="nil"/>
          <w:between w:val="nil"/>
        </w:pBdr>
        <w:spacing w:line="259" w:lineRule="auto"/>
        <w:ind w:left="835" w:hanging="835"/>
        <w:jc w:val="center"/>
        <w:rPr>
          <w:rFonts w:ascii="Times New Roman" w:eastAsia="Times New Roman" w:hAnsi="Times New Roman" w:cs="Times New Roman"/>
          <w:color w:val="000000"/>
          <w:sz w:val="21"/>
          <w:szCs w:val="21"/>
        </w:rPr>
      </w:pPr>
      <w:r>
        <w:rPr>
          <w:rFonts w:ascii="Times New Roman" w:eastAsia="Times New Roman" w:hAnsi="Times New Roman" w:cs="Times New Roman"/>
          <w:b/>
          <w:i/>
          <w:color w:val="000000"/>
          <w:sz w:val="21"/>
          <w:szCs w:val="21"/>
        </w:rPr>
        <w:t xml:space="preserve"> SCHEDA PER L'INDIVIDUAZIONE DEI DOCENTI SOPRANNUMERARI PER L’ A.S. 20</w:t>
      </w:r>
      <w:r>
        <w:rPr>
          <w:rFonts w:ascii="Times New Roman" w:eastAsia="Times New Roman" w:hAnsi="Times New Roman" w:cs="Times New Roman"/>
          <w:b/>
          <w:i/>
          <w:sz w:val="21"/>
          <w:szCs w:val="21"/>
        </w:rPr>
        <w:t>24</w:t>
      </w:r>
      <w:r>
        <w:rPr>
          <w:rFonts w:ascii="Times New Roman" w:eastAsia="Times New Roman" w:hAnsi="Times New Roman" w:cs="Times New Roman"/>
          <w:b/>
          <w:i/>
          <w:color w:val="000000"/>
          <w:sz w:val="21"/>
          <w:szCs w:val="21"/>
        </w:rPr>
        <w:t>/2</w:t>
      </w:r>
      <w:r>
        <w:rPr>
          <w:rFonts w:ascii="Times New Roman" w:eastAsia="Times New Roman" w:hAnsi="Times New Roman" w:cs="Times New Roman"/>
          <w:b/>
          <w:i/>
          <w:sz w:val="21"/>
          <w:szCs w:val="21"/>
        </w:rPr>
        <w:t>5</w:t>
      </w:r>
    </w:p>
    <w:p w:rsidR="00F9241C" w:rsidRDefault="00F9241C">
      <w:pPr>
        <w:widowControl w:val="0"/>
        <w:pBdr>
          <w:top w:val="nil"/>
          <w:left w:val="nil"/>
          <w:bottom w:val="nil"/>
          <w:right w:val="nil"/>
          <w:between w:val="nil"/>
        </w:pBdr>
        <w:spacing w:line="259" w:lineRule="auto"/>
        <w:ind w:left="4375" w:firstLine="581"/>
        <w:jc w:val="center"/>
        <w:rPr>
          <w:rFonts w:ascii="Times New Roman" w:eastAsia="Times New Roman" w:hAnsi="Times New Roman" w:cs="Times New Roman"/>
          <w:color w:val="000000"/>
          <w:sz w:val="21"/>
          <w:szCs w:val="21"/>
        </w:rPr>
      </w:pPr>
    </w:p>
    <w:p w:rsidR="00F9241C" w:rsidRDefault="006E4B77">
      <w:pPr>
        <w:widowControl w:val="0"/>
        <w:pBdr>
          <w:top w:val="nil"/>
          <w:left w:val="nil"/>
          <w:bottom w:val="nil"/>
          <w:right w:val="nil"/>
          <w:between w:val="nil"/>
        </w:pBdr>
        <w:spacing w:line="259" w:lineRule="auto"/>
        <w:ind w:left="5083" w:firstLine="579"/>
        <w:jc w:val="center"/>
        <w:rPr>
          <w:rFonts w:ascii="Times New Roman" w:eastAsia="Times New Roman" w:hAnsi="Times New Roman" w:cs="Times New Roman"/>
          <w:color w:val="000000"/>
          <w:sz w:val="21"/>
          <w:szCs w:val="21"/>
        </w:rPr>
      </w:pPr>
      <w:r>
        <w:rPr>
          <w:rFonts w:ascii="Times New Roman" w:eastAsia="Times New Roman" w:hAnsi="Times New Roman" w:cs="Times New Roman"/>
          <w:b/>
          <w:i/>
          <w:color w:val="000000"/>
          <w:sz w:val="21"/>
          <w:szCs w:val="21"/>
        </w:rPr>
        <w:t xml:space="preserve">AL DIRIGENTE SCOLASTICO                                                                                  </w:t>
      </w:r>
    </w:p>
    <w:p w:rsidR="00F9241C" w:rsidRDefault="006E4B77">
      <w:pPr>
        <w:widowControl w:val="0"/>
        <w:pBdr>
          <w:top w:val="nil"/>
          <w:left w:val="nil"/>
          <w:bottom w:val="nil"/>
          <w:right w:val="nil"/>
          <w:between w:val="nil"/>
        </w:pBdr>
        <w:spacing w:line="259" w:lineRule="auto"/>
        <w:ind w:left="835"/>
        <w:jc w:val="both"/>
        <w:rPr>
          <w:rFonts w:ascii="Times New Roman" w:eastAsia="Times New Roman" w:hAnsi="Times New Roman" w:cs="Times New Roman"/>
          <w:b/>
          <w:i/>
          <w:color w:val="000000"/>
          <w:sz w:val="21"/>
          <w:szCs w:val="21"/>
        </w:rPr>
      </w:pPr>
      <w:r>
        <w:rPr>
          <w:rFonts w:ascii="Times New Roman" w:eastAsia="Times New Roman" w:hAnsi="Times New Roman" w:cs="Times New Roman"/>
          <w:i/>
          <w:color w:val="000000"/>
          <w:sz w:val="21"/>
          <w:szCs w:val="21"/>
        </w:rPr>
        <w:t xml:space="preserve">                                                                                      </w:t>
      </w:r>
      <w:r>
        <w:rPr>
          <w:rFonts w:ascii="Times New Roman" w:eastAsia="Times New Roman" w:hAnsi="Times New Roman" w:cs="Times New Roman"/>
          <w:b/>
          <w:i/>
          <w:color w:val="000000"/>
          <w:sz w:val="21"/>
          <w:szCs w:val="21"/>
        </w:rPr>
        <w:t>DELL’I.</w:t>
      </w:r>
      <w:r>
        <w:rPr>
          <w:rFonts w:ascii="Times New Roman" w:eastAsia="Times New Roman" w:hAnsi="Times New Roman" w:cs="Times New Roman"/>
          <w:b/>
          <w:i/>
          <w:sz w:val="21"/>
          <w:szCs w:val="21"/>
        </w:rPr>
        <w:t>S</w:t>
      </w:r>
      <w:r>
        <w:rPr>
          <w:rFonts w:ascii="Times New Roman" w:eastAsia="Times New Roman" w:hAnsi="Times New Roman" w:cs="Times New Roman"/>
          <w:b/>
          <w:i/>
          <w:color w:val="000000"/>
          <w:sz w:val="21"/>
          <w:szCs w:val="21"/>
        </w:rPr>
        <w:t>. “GORGIA-VITTORINI”  LENTINI</w:t>
      </w:r>
    </w:p>
    <w:p w:rsidR="00F9241C" w:rsidRDefault="00F9241C">
      <w:pPr>
        <w:widowControl w:val="0"/>
        <w:pBdr>
          <w:top w:val="nil"/>
          <w:left w:val="nil"/>
          <w:bottom w:val="nil"/>
          <w:right w:val="nil"/>
          <w:between w:val="nil"/>
        </w:pBdr>
        <w:spacing w:line="259" w:lineRule="auto"/>
        <w:ind w:left="835"/>
        <w:jc w:val="both"/>
        <w:rPr>
          <w:rFonts w:ascii="Times New Roman" w:eastAsia="Times New Roman" w:hAnsi="Times New Roman" w:cs="Times New Roman"/>
          <w:b/>
          <w:i/>
          <w:color w:val="000000"/>
          <w:sz w:val="21"/>
          <w:szCs w:val="21"/>
        </w:rPr>
      </w:pPr>
    </w:p>
    <w:p w:rsidR="00F9241C" w:rsidRDefault="006E4B77">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Il/La sottoscritto/a  ...........................................................................nato/a ...........................</w:t>
      </w:r>
      <w:r>
        <w:rPr>
          <w:rFonts w:ascii="Times New Roman" w:eastAsia="Times New Roman" w:hAnsi="Times New Roman" w:cs="Times New Roman"/>
          <w:color w:val="000000"/>
        </w:rPr>
        <w:t>.................(prov................)</w:t>
      </w:r>
    </w:p>
    <w:p w:rsidR="00F9241C" w:rsidRDefault="006E4B77">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Il .......................................residente in ...........................................................................................................................</w:t>
      </w:r>
    </w:p>
    <w:p w:rsidR="00F9241C" w:rsidRDefault="006E4B77">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Insegnante di scuola.................</w:t>
      </w:r>
      <w:r>
        <w:rPr>
          <w:rFonts w:ascii="Times New Roman" w:eastAsia="Times New Roman" w:hAnsi="Times New Roman" w:cs="Times New Roman"/>
          <w:color w:val="000000"/>
        </w:rPr>
        <w:t xml:space="preserve">............................................................................(cl.di </w:t>
      </w:r>
      <w:proofErr w:type="spellStart"/>
      <w:r>
        <w:rPr>
          <w:rFonts w:ascii="Times New Roman" w:eastAsia="Times New Roman" w:hAnsi="Times New Roman" w:cs="Times New Roman"/>
          <w:color w:val="000000"/>
        </w:rPr>
        <w:t>conc</w:t>
      </w:r>
      <w:proofErr w:type="spellEnd"/>
      <w:r>
        <w:rPr>
          <w:rFonts w:ascii="Times New Roman" w:eastAsia="Times New Roman" w:hAnsi="Times New Roman" w:cs="Times New Roman"/>
          <w:color w:val="000000"/>
        </w:rPr>
        <w:t>..................)</w:t>
      </w:r>
    </w:p>
    <w:p w:rsidR="00F9241C" w:rsidRDefault="006E4B77">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titolare presso la Scuola..........................................................................di............................dall’A.S............</w:t>
      </w:r>
      <w:r>
        <w:rPr>
          <w:rFonts w:ascii="Times New Roman" w:eastAsia="Times New Roman" w:hAnsi="Times New Roman" w:cs="Times New Roman"/>
          <w:color w:val="000000"/>
        </w:rPr>
        <w:t xml:space="preserve">..... con </w:t>
      </w:r>
      <w:proofErr w:type="spellStart"/>
      <w:r>
        <w:rPr>
          <w:rFonts w:ascii="Times New Roman" w:eastAsia="Times New Roman" w:hAnsi="Times New Roman" w:cs="Times New Roman"/>
          <w:color w:val="000000"/>
        </w:rPr>
        <w:t>dec</w:t>
      </w:r>
      <w:proofErr w:type="spellEnd"/>
      <w:r>
        <w:rPr>
          <w:rFonts w:ascii="Times New Roman" w:eastAsia="Times New Roman" w:hAnsi="Times New Roman" w:cs="Times New Roman"/>
          <w:color w:val="000000"/>
        </w:rPr>
        <w:t xml:space="preserve"> giuridica  dal ........../............/......... immesso in ruolo ai sensi </w:t>
      </w:r>
      <w:r>
        <w:rPr>
          <w:rFonts w:ascii="Times New Roman" w:eastAsia="Times New Roman" w:hAnsi="Times New Roman" w:cs="Times New Roman"/>
          <w:color w:val="000000"/>
        </w:rPr>
        <w:tab/>
        <w:t>con effettiva assunzione in servizio dal ……\......\.............  ai fini della formulazione della graduatoria dichiara sotto la propria responsabilità:</w:t>
      </w:r>
    </w:p>
    <w:tbl>
      <w:tblPr>
        <w:tblStyle w:val="a2"/>
        <w:tblW w:w="9648" w:type="dxa"/>
        <w:jc w:val="center"/>
        <w:tblInd w:w="0" w:type="dxa"/>
        <w:tblLayout w:type="fixed"/>
        <w:tblLook w:val="0000" w:firstRow="0" w:lastRow="0" w:firstColumn="0" w:lastColumn="0" w:noHBand="0" w:noVBand="0"/>
      </w:tblPr>
      <w:tblGrid>
        <w:gridCol w:w="7236"/>
        <w:gridCol w:w="537"/>
        <w:gridCol w:w="667"/>
        <w:gridCol w:w="1208"/>
      </w:tblGrid>
      <w:tr w:rsidR="00F9241C">
        <w:trPr>
          <w:jc w:val="center"/>
        </w:trPr>
        <w:tc>
          <w:tcPr>
            <w:tcW w:w="7236" w:type="dxa"/>
            <w:tcBorders>
              <w:top w:val="single" w:sz="4" w:space="0" w:color="000000"/>
              <w:left w:val="single" w:sz="4" w:space="0" w:color="000000"/>
              <w:right w:val="single" w:sz="4" w:space="0" w:color="000000"/>
            </w:tcBorders>
            <w:vAlign w:val="center"/>
          </w:tcPr>
          <w:p w:rsidR="00F9241C" w:rsidRDefault="006E4B77">
            <w:pPr>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 compilare a cura dell'interessato </w:t>
            </w:r>
          </w:p>
        </w:tc>
        <w:tc>
          <w:tcPr>
            <w:tcW w:w="537" w:type="dxa"/>
            <w:tcBorders>
              <w:top w:val="single" w:sz="4" w:space="0" w:color="000000"/>
              <w:left w:val="single" w:sz="4" w:space="0" w:color="000000"/>
              <w:right w:val="single" w:sz="4" w:space="0" w:color="000000"/>
            </w:tcBorders>
            <w:vAlign w:val="center"/>
          </w:tcPr>
          <w:p w:rsidR="00F9241C" w:rsidRDefault="006E4B77">
            <w:pPr>
              <w:widowControl w:val="0"/>
              <w:pBdr>
                <w:top w:val="nil"/>
                <w:left w:val="nil"/>
                <w:bottom w:val="nil"/>
                <w:right w:val="nil"/>
                <w:between w:val="nil"/>
              </w:pBdr>
              <w:ind w:left="14"/>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Anni </w:t>
            </w:r>
          </w:p>
        </w:tc>
        <w:tc>
          <w:tcPr>
            <w:tcW w:w="667" w:type="dxa"/>
            <w:tcBorders>
              <w:top w:val="single" w:sz="4" w:space="0" w:color="000000"/>
              <w:left w:val="single" w:sz="4" w:space="0" w:color="000000"/>
              <w:right w:val="single" w:sz="4" w:space="0" w:color="000000"/>
            </w:tcBorders>
            <w:vAlign w:val="center"/>
          </w:tcPr>
          <w:p w:rsidR="00F9241C" w:rsidRDefault="006E4B77">
            <w:pPr>
              <w:widowControl w:val="0"/>
              <w:pBdr>
                <w:top w:val="nil"/>
                <w:left w:val="nil"/>
                <w:bottom w:val="nil"/>
                <w:right w:val="nil"/>
                <w:between w:val="nil"/>
              </w:pBdr>
              <w:ind w:left="14"/>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Punti </w:t>
            </w:r>
          </w:p>
        </w:tc>
        <w:tc>
          <w:tcPr>
            <w:tcW w:w="1208" w:type="dxa"/>
            <w:tcBorders>
              <w:top w:val="single" w:sz="4" w:space="0" w:color="000000"/>
              <w:left w:val="single" w:sz="4" w:space="0" w:color="000000"/>
              <w:right w:val="single" w:sz="4" w:space="0" w:color="000000"/>
            </w:tcBorders>
            <w:vAlign w:val="center"/>
          </w:tcPr>
          <w:p w:rsidR="00F9241C" w:rsidRDefault="006E4B77">
            <w:pPr>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Riservato al </w:t>
            </w:r>
          </w:p>
          <w:p w:rsidR="00F9241C" w:rsidRDefault="006E4B77">
            <w:pPr>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Dir.Scol</w:t>
            </w:r>
            <w:proofErr w:type="spellEnd"/>
            <w:r>
              <w:rPr>
                <w:rFonts w:ascii="Times New Roman" w:eastAsia="Times New Roman" w:hAnsi="Times New Roman" w:cs="Times New Roman"/>
                <w:color w:val="000000"/>
                <w:sz w:val="18"/>
                <w:szCs w:val="18"/>
              </w:rPr>
              <w:t xml:space="preserve">. </w:t>
            </w:r>
          </w:p>
        </w:tc>
      </w:tr>
      <w:tr w:rsidR="00F9241C">
        <w:trPr>
          <w:jc w:val="center"/>
        </w:trPr>
        <w:tc>
          <w:tcPr>
            <w:tcW w:w="7236" w:type="dxa"/>
            <w:tcBorders>
              <w:top w:val="single" w:sz="4" w:space="0" w:color="000000"/>
              <w:left w:val="single" w:sz="4" w:space="0" w:color="000000"/>
              <w:bottom w:val="single" w:sz="4" w:space="0" w:color="000000"/>
              <w:right w:val="single" w:sz="4" w:space="0" w:color="000000"/>
            </w:tcBorders>
            <w:vAlign w:val="center"/>
          </w:tcPr>
          <w:p w:rsidR="00F9241C" w:rsidRDefault="006E4B77">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 - ANZIANITÀ DI SERVIZIO: </w:t>
            </w:r>
          </w:p>
        </w:tc>
        <w:tc>
          <w:tcPr>
            <w:tcW w:w="537" w:type="dxa"/>
            <w:tcBorders>
              <w:top w:val="single" w:sz="4" w:space="0" w:color="000000"/>
              <w:left w:val="single" w:sz="4" w:space="0" w:color="000000"/>
              <w:bottom w:val="single" w:sz="4" w:space="0" w:color="000000"/>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single" w:sz="4" w:space="0" w:color="000000"/>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jc w:val="center"/>
        </w:trPr>
        <w:tc>
          <w:tcPr>
            <w:tcW w:w="7236" w:type="dxa"/>
            <w:vMerge w:val="restart"/>
            <w:tcBorders>
              <w:top w:val="single" w:sz="4" w:space="0" w:color="000000"/>
              <w:left w:val="single" w:sz="4" w:space="0" w:color="000000"/>
              <w:right w:val="single" w:sz="4" w:space="0" w:color="000000"/>
            </w:tcBorders>
            <w:vAlign w:val="center"/>
          </w:tcPr>
          <w:p w:rsidR="00F9241C" w:rsidRDefault="006E4B77">
            <w:pPr>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  per ogni anno di servizio comunque prestato, successivamente alla decorrenza giuridica  della nomina, nel ruolo di appartenenza (1)                                                                                     (Punti 6) </w:t>
            </w:r>
          </w:p>
        </w:tc>
        <w:tc>
          <w:tcPr>
            <w:tcW w:w="537" w:type="dxa"/>
            <w:tcBorders>
              <w:top w:val="single" w:sz="4" w:space="0" w:color="000000"/>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jc w:val="center"/>
        </w:trPr>
        <w:tc>
          <w:tcPr>
            <w:tcW w:w="7236" w:type="dxa"/>
            <w:vMerge/>
            <w:tcBorders>
              <w:top w:val="single" w:sz="4" w:space="0" w:color="000000"/>
              <w:left w:val="single" w:sz="4" w:space="0" w:color="000000"/>
              <w:right w:val="single" w:sz="4" w:space="0" w:color="000000"/>
            </w:tcBorders>
            <w:vAlign w:val="center"/>
          </w:tcPr>
          <w:p w:rsidR="00F9241C" w:rsidRDefault="00F9241C">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jc w:val="center"/>
        </w:trPr>
        <w:tc>
          <w:tcPr>
            <w:tcW w:w="7236" w:type="dxa"/>
            <w:vMerge w:val="restart"/>
            <w:tcBorders>
              <w:top w:val="single" w:sz="4" w:space="0" w:color="000000"/>
              <w:left w:val="single" w:sz="4" w:space="0" w:color="000000"/>
              <w:right w:val="single" w:sz="4" w:space="0" w:color="000000"/>
            </w:tcBorders>
            <w:vAlign w:val="center"/>
          </w:tcPr>
          <w:p w:rsidR="00F9241C" w:rsidRDefault="006E4B77">
            <w:pPr>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A1) per ogni anno di servizio effettivamente  prestato (2) dopo la nomina nel ruolo di appartenenza in scuole o istituti situati nelle piccole isole (3) in aggiunta al punteggio di cui al punto A)                (Punti 6) </w:t>
            </w:r>
          </w:p>
        </w:tc>
        <w:tc>
          <w:tcPr>
            <w:tcW w:w="537" w:type="dxa"/>
            <w:tcBorders>
              <w:top w:val="single" w:sz="4" w:space="0" w:color="000000"/>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jc w:val="center"/>
        </w:trPr>
        <w:tc>
          <w:tcPr>
            <w:tcW w:w="7236" w:type="dxa"/>
            <w:vMerge/>
            <w:tcBorders>
              <w:top w:val="single" w:sz="4" w:space="0" w:color="000000"/>
              <w:left w:val="single" w:sz="4" w:space="0" w:color="000000"/>
              <w:right w:val="single" w:sz="4" w:space="0" w:color="000000"/>
            </w:tcBorders>
            <w:vAlign w:val="center"/>
          </w:tcPr>
          <w:p w:rsidR="00F9241C" w:rsidRDefault="00F9241C">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jc w:val="center"/>
        </w:trPr>
        <w:tc>
          <w:tcPr>
            <w:tcW w:w="7236" w:type="dxa"/>
            <w:vMerge/>
            <w:tcBorders>
              <w:top w:val="single" w:sz="4" w:space="0" w:color="000000"/>
              <w:left w:val="single" w:sz="4" w:space="0" w:color="000000"/>
              <w:right w:val="single" w:sz="4" w:space="0" w:color="000000"/>
            </w:tcBorders>
            <w:vAlign w:val="center"/>
          </w:tcPr>
          <w:p w:rsidR="00F9241C" w:rsidRDefault="00F9241C">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jc w:val="center"/>
        </w:trPr>
        <w:tc>
          <w:tcPr>
            <w:tcW w:w="7236" w:type="dxa"/>
            <w:vMerge w:val="restart"/>
            <w:tcBorders>
              <w:top w:val="single" w:sz="4" w:space="0" w:color="000000"/>
              <w:left w:val="single" w:sz="4" w:space="0" w:color="000000"/>
              <w:right w:val="single" w:sz="4" w:space="0" w:color="000000"/>
            </w:tcBorders>
            <w:vAlign w:val="center"/>
          </w:tcPr>
          <w:p w:rsidR="00F9241C" w:rsidRDefault="006E4B77">
            <w:pPr>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 per ogni anno di servizio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xml:space="preserve"> o di altro servizio di ruolo riconosciuto o valutato ai  fini della carriera o per ogni anno di servizio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xml:space="preserve"> o di altro servizio di ruolo prestato nella scuola secondaria di secondo grado (4) </w:t>
            </w:r>
          </w:p>
          <w:p w:rsidR="00F9241C" w:rsidRDefault="006E4B77">
            <w:pPr>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(Punti 3)  per i pri</w:t>
            </w:r>
            <w:r>
              <w:rPr>
                <w:rFonts w:ascii="Times New Roman" w:eastAsia="Times New Roman" w:hAnsi="Times New Roman" w:cs="Times New Roman"/>
                <w:color w:val="000000"/>
                <w:sz w:val="18"/>
                <w:szCs w:val="18"/>
              </w:rPr>
              <w:t>mi 4 anni</w:t>
            </w:r>
          </w:p>
          <w:p w:rsidR="00F9241C" w:rsidRDefault="006E4B77">
            <w:pPr>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(Punti 2) per gli anni successivi al 4 anno</w:t>
            </w:r>
          </w:p>
          <w:p w:rsidR="00F9241C" w:rsidRDefault="006E4B77">
            <w:pPr>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
        </w:tc>
        <w:tc>
          <w:tcPr>
            <w:tcW w:w="537" w:type="dxa"/>
            <w:tcBorders>
              <w:top w:val="single" w:sz="4" w:space="0" w:color="000000"/>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jc w:val="center"/>
        </w:trPr>
        <w:tc>
          <w:tcPr>
            <w:tcW w:w="7236" w:type="dxa"/>
            <w:vMerge/>
            <w:tcBorders>
              <w:top w:val="single" w:sz="4" w:space="0" w:color="000000"/>
              <w:left w:val="single" w:sz="4" w:space="0" w:color="000000"/>
              <w:right w:val="single" w:sz="4" w:space="0" w:color="000000"/>
            </w:tcBorders>
            <w:vAlign w:val="center"/>
          </w:tcPr>
          <w:p w:rsidR="00F9241C" w:rsidRDefault="00F9241C">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trHeight w:val="695"/>
          <w:jc w:val="center"/>
        </w:trPr>
        <w:tc>
          <w:tcPr>
            <w:tcW w:w="7236" w:type="dxa"/>
            <w:vMerge/>
            <w:tcBorders>
              <w:top w:val="single" w:sz="4" w:space="0" w:color="000000"/>
              <w:left w:val="single" w:sz="4" w:space="0" w:color="000000"/>
              <w:right w:val="single" w:sz="4" w:space="0" w:color="000000"/>
            </w:tcBorders>
            <w:vAlign w:val="center"/>
          </w:tcPr>
          <w:p w:rsidR="00F9241C" w:rsidRDefault="00F9241C">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jc w:val="center"/>
        </w:trPr>
        <w:tc>
          <w:tcPr>
            <w:tcW w:w="7236" w:type="dxa"/>
            <w:vMerge w:val="restart"/>
            <w:tcBorders>
              <w:top w:val="single" w:sz="4" w:space="0" w:color="000000"/>
              <w:left w:val="single" w:sz="4" w:space="0" w:color="000000"/>
              <w:right w:val="single" w:sz="4" w:space="0" w:color="000000"/>
            </w:tcBorders>
            <w:vAlign w:val="center"/>
          </w:tcPr>
          <w:p w:rsidR="00F9241C" w:rsidRDefault="006E4B77">
            <w:pPr>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B1) (valido solo per la scuola secondaria di II grado ed artistica) per  ogni anno  di servizio  prestato in posizione di comando ai sensi  dell'art. 5  della legge 603/66 nella scuola  secondaria  superiore successivamente alla  nomina in  ruolo nella scu</w:t>
            </w:r>
            <w:r>
              <w:rPr>
                <w:rFonts w:ascii="Times New Roman" w:eastAsia="Times New Roman" w:hAnsi="Times New Roman" w:cs="Times New Roman"/>
                <w:color w:val="000000"/>
                <w:sz w:val="18"/>
                <w:szCs w:val="18"/>
              </w:rPr>
              <w:t xml:space="preserve">ola secondaria di  I  grado in aggiunta al punteggio di cui al  punto B                                                                                                                      (Punti 3) </w:t>
            </w:r>
          </w:p>
        </w:tc>
        <w:tc>
          <w:tcPr>
            <w:tcW w:w="537" w:type="dxa"/>
            <w:tcBorders>
              <w:top w:val="single" w:sz="4" w:space="0" w:color="000000"/>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jc w:val="center"/>
        </w:trPr>
        <w:tc>
          <w:tcPr>
            <w:tcW w:w="7236" w:type="dxa"/>
            <w:vMerge/>
            <w:tcBorders>
              <w:top w:val="single" w:sz="4" w:space="0" w:color="000000"/>
              <w:left w:val="single" w:sz="4" w:space="0" w:color="000000"/>
              <w:right w:val="single" w:sz="4" w:space="0" w:color="000000"/>
            </w:tcBorders>
            <w:vAlign w:val="center"/>
          </w:tcPr>
          <w:p w:rsidR="00F9241C" w:rsidRDefault="00F9241C">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jc w:val="center"/>
        </w:trPr>
        <w:tc>
          <w:tcPr>
            <w:tcW w:w="7236" w:type="dxa"/>
            <w:vMerge/>
            <w:tcBorders>
              <w:top w:val="single" w:sz="4" w:space="0" w:color="000000"/>
              <w:left w:val="single" w:sz="4" w:space="0" w:color="000000"/>
              <w:right w:val="single" w:sz="4" w:space="0" w:color="000000"/>
            </w:tcBorders>
            <w:vAlign w:val="center"/>
          </w:tcPr>
          <w:p w:rsidR="00F9241C" w:rsidRDefault="00F9241C">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jc w:val="center"/>
        </w:trPr>
        <w:tc>
          <w:tcPr>
            <w:tcW w:w="7236" w:type="dxa"/>
            <w:vMerge/>
            <w:tcBorders>
              <w:top w:val="single" w:sz="4" w:space="0" w:color="000000"/>
              <w:left w:val="single" w:sz="4" w:space="0" w:color="000000"/>
              <w:right w:val="single" w:sz="4" w:space="0" w:color="000000"/>
            </w:tcBorders>
            <w:vAlign w:val="center"/>
          </w:tcPr>
          <w:p w:rsidR="00F9241C" w:rsidRDefault="00F9241C">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jc w:val="center"/>
        </w:trPr>
        <w:tc>
          <w:tcPr>
            <w:tcW w:w="7236" w:type="dxa"/>
            <w:vMerge w:val="restart"/>
            <w:tcBorders>
              <w:top w:val="single" w:sz="4" w:space="0" w:color="000000"/>
              <w:left w:val="single" w:sz="4" w:space="0" w:color="000000"/>
              <w:right w:val="single" w:sz="4" w:space="0" w:color="000000"/>
            </w:tcBorders>
            <w:vAlign w:val="center"/>
          </w:tcPr>
          <w:p w:rsidR="00F9241C" w:rsidRDefault="006E4B77">
            <w:pPr>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B2) per ogni anno di servizio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xml:space="preserve"> o di altro servizio di ruolo riconosciuto o valutato ai  fini della  carriera  o  per ogni anno di servizio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xml:space="preserve"> o di altro servizio di ruolo  nella  scuola dell'infanzia, effettivamente prestato (2) in scuole o i</w:t>
            </w:r>
            <w:r>
              <w:rPr>
                <w:rFonts w:ascii="Times New Roman" w:eastAsia="Times New Roman" w:hAnsi="Times New Roman" w:cs="Times New Roman"/>
                <w:color w:val="000000"/>
                <w:sz w:val="18"/>
                <w:szCs w:val="18"/>
              </w:rPr>
              <w:t xml:space="preserve">stituti situati nelle piccole isole  (3) e (4) in aggiunta al punteggio di cui al punto B) e B1)                                                                        (Punti 3) </w:t>
            </w:r>
          </w:p>
        </w:tc>
        <w:tc>
          <w:tcPr>
            <w:tcW w:w="537" w:type="dxa"/>
            <w:tcBorders>
              <w:top w:val="single" w:sz="4" w:space="0" w:color="000000"/>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jc w:val="center"/>
        </w:trPr>
        <w:tc>
          <w:tcPr>
            <w:tcW w:w="7236" w:type="dxa"/>
            <w:vMerge/>
            <w:tcBorders>
              <w:top w:val="single" w:sz="4" w:space="0" w:color="000000"/>
              <w:left w:val="single" w:sz="4" w:space="0" w:color="000000"/>
              <w:right w:val="single" w:sz="4" w:space="0" w:color="000000"/>
            </w:tcBorders>
            <w:vAlign w:val="center"/>
          </w:tcPr>
          <w:p w:rsidR="00F9241C" w:rsidRDefault="00F9241C">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jc w:val="center"/>
        </w:trPr>
        <w:tc>
          <w:tcPr>
            <w:tcW w:w="7236" w:type="dxa"/>
            <w:vMerge/>
            <w:tcBorders>
              <w:top w:val="single" w:sz="4" w:space="0" w:color="000000"/>
              <w:left w:val="single" w:sz="4" w:space="0" w:color="000000"/>
              <w:right w:val="single" w:sz="4" w:space="0" w:color="000000"/>
            </w:tcBorders>
            <w:vAlign w:val="center"/>
          </w:tcPr>
          <w:p w:rsidR="00F9241C" w:rsidRDefault="00F9241C">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jc w:val="center"/>
        </w:trPr>
        <w:tc>
          <w:tcPr>
            <w:tcW w:w="7236" w:type="dxa"/>
            <w:vMerge/>
            <w:tcBorders>
              <w:top w:val="single" w:sz="4" w:space="0" w:color="000000"/>
              <w:left w:val="single" w:sz="4" w:space="0" w:color="000000"/>
              <w:right w:val="single" w:sz="4" w:space="0" w:color="000000"/>
            </w:tcBorders>
            <w:vAlign w:val="center"/>
          </w:tcPr>
          <w:p w:rsidR="00F9241C" w:rsidRDefault="00F9241C">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jc w:val="center"/>
        </w:trPr>
        <w:tc>
          <w:tcPr>
            <w:tcW w:w="7236" w:type="dxa"/>
            <w:vMerge w:val="restart"/>
            <w:tcBorders>
              <w:top w:val="single" w:sz="4" w:space="0" w:color="000000"/>
              <w:left w:val="single" w:sz="4" w:space="0" w:color="000000"/>
              <w:right w:val="single" w:sz="4" w:space="0" w:color="000000"/>
            </w:tcBorders>
            <w:vAlign w:val="center"/>
          </w:tcPr>
          <w:p w:rsidR="00F9241C" w:rsidRDefault="006E4B77">
            <w:pPr>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B3)  (valido solo per la scuola elementare) per ogni anno di servizio di ruolo effettivamente  prestato come "specialista" per l'insegnamento della  lingua straniera dall'anno scolastico  92/93 fino all' anno scolastico 97/98 (in aggiunta  al punteggio  di</w:t>
            </w:r>
            <w:r>
              <w:rPr>
                <w:rFonts w:ascii="Times New Roman" w:eastAsia="Times New Roman" w:hAnsi="Times New Roman" w:cs="Times New Roman"/>
                <w:color w:val="000000"/>
                <w:sz w:val="18"/>
                <w:szCs w:val="18"/>
              </w:rPr>
              <w:t xml:space="preserve">  cui alle lettere B e B2)  rispettivamente:  </w:t>
            </w:r>
            <w:r>
              <w:rPr>
                <w:rFonts w:ascii="Times New Roman" w:eastAsia="Times New Roman" w:hAnsi="Times New Roman" w:cs="Times New Roman"/>
                <w:color w:val="000000"/>
                <w:sz w:val="18"/>
                <w:szCs w:val="18"/>
              </w:rPr>
              <w:br/>
            </w:r>
            <w:r>
              <w:rPr>
                <w:rFonts w:ascii="Arial" w:eastAsia="Arial" w:hAnsi="Arial" w:cs="Arial"/>
                <w:color w:val="000000"/>
                <w:sz w:val="15"/>
                <w:szCs w:val="15"/>
              </w:rPr>
              <w:t xml:space="preserve">-  </w:t>
            </w:r>
            <w:r>
              <w:rPr>
                <w:rFonts w:ascii="Times New Roman" w:eastAsia="Times New Roman" w:hAnsi="Times New Roman" w:cs="Times New Roman"/>
                <w:color w:val="000000"/>
                <w:sz w:val="18"/>
                <w:szCs w:val="18"/>
              </w:rPr>
              <w:t xml:space="preserve">se il servizio </w:t>
            </w:r>
            <w:r>
              <w:rPr>
                <w:rFonts w:ascii="Times New Roman" w:eastAsia="Times New Roman" w:hAnsi="Times New Roman" w:cs="Times New Roman"/>
                <w:color w:val="000000"/>
                <w:sz w:val="4"/>
                <w:szCs w:val="4"/>
              </w:rPr>
              <w:t xml:space="preserve">é </w:t>
            </w:r>
            <w:r>
              <w:rPr>
                <w:rFonts w:ascii="Times New Roman" w:eastAsia="Times New Roman" w:hAnsi="Times New Roman" w:cs="Times New Roman"/>
                <w:color w:val="000000"/>
                <w:sz w:val="18"/>
                <w:szCs w:val="18"/>
              </w:rPr>
              <w:t xml:space="preserve">prestato nell'ambito del plesso di titolarità                                                 (Punti 0,5)  </w:t>
            </w:r>
            <w:r>
              <w:rPr>
                <w:rFonts w:ascii="Times New Roman" w:eastAsia="Times New Roman" w:hAnsi="Times New Roman" w:cs="Times New Roman"/>
                <w:color w:val="000000"/>
                <w:sz w:val="18"/>
                <w:szCs w:val="18"/>
              </w:rPr>
              <w:br/>
            </w:r>
            <w:r>
              <w:rPr>
                <w:rFonts w:ascii="Arial" w:eastAsia="Arial" w:hAnsi="Arial" w:cs="Arial"/>
                <w:color w:val="000000"/>
                <w:sz w:val="15"/>
                <w:szCs w:val="15"/>
              </w:rPr>
              <w:t xml:space="preserve">-  </w:t>
            </w:r>
            <w:r>
              <w:rPr>
                <w:rFonts w:ascii="Times New Roman" w:eastAsia="Times New Roman" w:hAnsi="Times New Roman" w:cs="Times New Roman"/>
                <w:color w:val="000000"/>
                <w:sz w:val="18"/>
                <w:szCs w:val="18"/>
              </w:rPr>
              <w:t xml:space="preserve">se il servizio </w:t>
            </w:r>
            <w:r>
              <w:rPr>
                <w:rFonts w:ascii="Times New Roman" w:eastAsia="Times New Roman" w:hAnsi="Times New Roman" w:cs="Times New Roman"/>
                <w:color w:val="000000"/>
                <w:sz w:val="4"/>
                <w:szCs w:val="4"/>
              </w:rPr>
              <w:t xml:space="preserve">é </w:t>
            </w:r>
            <w:r>
              <w:rPr>
                <w:rFonts w:ascii="Times New Roman" w:eastAsia="Times New Roman" w:hAnsi="Times New Roman" w:cs="Times New Roman"/>
                <w:color w:val="000000"/>
                <w:sz w:val="18"/>
                <w:szCs w:val="18"/>
              </w:rPr>
              <w:t xml:space="preserve">stato prestato al di fuori del plesso di titolarità                                           (Punti 1) </w:t>
            </w:r>
          </w:p>
        </w:tc>
        <w:tc>
          <w:tcPr>
            <w:tcW w:w="537" w:type="dxa"/>
            <w:tcBorders>
              <w:top w:val="single" w:sz="4" w:space="0" w:color="000000"/>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jc w:val="center"/>
        </w:trPr>
        <w:tc>
          <w:tcPr>
            <w:tcW w:w="7236" w:type="dxa"/>
            <w:vMerge/>
            <w:tcBorders>
              <w:top w:val="single" w:sz="4" w:space="0" w:color="000000"/>
              <w:left w:val="single" w:sz="4" w:space="0" w:color="000000"/>
              <w:right w:val="single" w:sz="4" w:space="0" w:color="000000"/>
            </w:tcBorders>
            <w:vAlign w:val="center"/>
          </w:tcPr>
          <w:p w:rsidR="00F9241C" w:rsidRDefault="00F9241C">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jc w:val="center"/>
        </w:trPr>
        <w:tc>
          <w:tcPr>
            <w:tcW w:w="7236" w:type="dxa"/>
            <w:vMerge/>
            <w:tcBorders>
              <w:top w:val="single" w:sz="4" w:space="0" w:color="000000"/>
              <w:left w:val="single" w:sz="4" w:space="0" w:color="000000"/>
              <w:right w:val="single" w:sz="4" w:space="0" w:color="000000"/>
            </w:tcBorders>
            <w:vAlign w:val="center"/>
          </w:tcPr>
          <w:p w:rsidR="00F9241C" w:rsidRDefault="00F9241C">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jc w:val="center"/>
        </w:trPr>
        <w:tc>
          <w:tcPr>
            <w:tcW w:w="7236" w:type="dxa"/>
            <w:vMerge/>
            <w:tcBorders>
              <w:top w:val="single" w:sz="4" w:space="0" w:color="000000"/>
              <w:left w:val="single" w:sz="4" w:space="0" w:color="000000"/>
              <w:right w:val="single" w:sz="4" w:space="0" w:color="000000"/>
            </w:tcBorders>
            <w:vAlign w:val="center"/>
          </w:tcPr>
          <w:p w:rsidR="00F9241C" w:rsidRDefault="00F9241C">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jc w:val="center"/>
        </w:trPr>
        <w:tc>
          <w:tcPr>
            <w:tcW w:w="7236" w:type="dxa"/>
            <w:vMerge/>
            <w:tcBorders>
              <w:top w:val="single" w:sz="4" w:space="0" w:color="000000"/>
              <w:left w:val="single" w:sz="4" w:space="0" w:color="000000"/>
              <w:right w:val="single" w:sz="4" w:space="0" w:color="000000"/>
            </w:tcBorders>
            <w:vAlign w:val="center"/>
          </w:tcPr>
          <w:p w:rsidR="00F9241C" w:rsidRDefault="00F9241C">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jc w:val="center"/>
        </w:trPr>
        <w:tc>
          <w:tcPr>
            <w:tcW w:w="7236" w:type="dxa"/>
            <w:vMerge/>
            <w:tcBorders>
              <w:top w:val="single" w:sz="4" w:space="0" w:color="000000"/>
              <w:left w:val="single" w:sz="4" w:space="0" w:color="000000"/>
              <w:right w:val="single" w:sz="4" w:space="0" w:color="000000"/>
            </w:tcBorders>
            <w:vAlign w:val="center"/>
          </w:tcPr>
          <w:p w:rsidR="00F9241C" w:rsidRDefault="00F9241C">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jc w:val="center"/>
        </w:trPr>
        <w:tc>
          <w:tcPr>
            <w:tcW w:w="7236" w:type="dxa"/>
            <w:vMerge w:val="restart"/>
            <w:tcBorders>
              <w:top w:val="single" w:sz="4" w:space="0" w:color="000000"/>
              <w:left w:val="single" w:sz="4" w:space="0" w:color="000000"/>
              <w:right w:val="single" w:sz="4" w:space="0" w:color="000000"/>
            </w:tcBorders>
            <w:vAlign w:val="center"/>
          </w:tcPr>
          <w:p w:rsidR="00F9241C" w:rsidRDefault="006E4B77">
            <w:pPr>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 per il servizio di ruolo prestato senza soluzione di continuità negli ultimi tre anni scolastici  nella scuola di attuale titolarità ovvero nella scuola di servizio per i titolari di Dotazione  Organica di Sostegno (DOS) nella scuola secondaria di secon</w:t>
            </w:r>
            <w:r>
              <w:rPr>
                <w:rFonts w:ascii="Times New Roman" w:eastAsia="Times New Roman" w:hAnsi="Times New Roman" w:cs="Times New Roman"/>
                <w:color w:val="000000"/>
                <w:sz w:val="18"/>
                <w:szCs w:val="18"/>
              </w:rPr>
              <w:t xml:space="preserve">do grado e per i docenti di  religione cattolica (5) (in aggiunta a quello previsto dalle lettere A), Al), B), BI), B2), B3)  (N.B.: per i trasferimenti d'ufficio si veda anche la nota 5 bis).                                                                </w:t>
            </w:r>
            <w:r>
              <w:rPr>
                <w:rFonts w:ascii="Times New Roman" w:eastAsia="Times New Roman" w:hAnsi="Times New Roman" w:cs="Times New Roman"/>
                <w:color w:val="000000"/>
                <w:sz w:val="18"/>
                <w:szCs w:val="18"/>
              </w:rPr>
              <w:t xml:space="preserve">                     (Punti 6)  </w:t>
            </w:r>
            <w:r>
              <w:rPr>
                <w:rFonts w:ascii="Times New Roman" w:eastAsia="Times New Roman" w:hAnsi="Times New Roman" w:cs="Times New Roman"/>
                <w:color w:val="000000"/>
                <w:sz w:val="18"/>
                <w:szCs w:val="18"/>
              </w:rPr>
              <w:br/>
              <w:t xml:space="preserve">Per ogni ulteriore anno di servizio:  </w:t>
            </w:r>
            <w:r>
              <w:rPr>
                <w:rFonts w:ascii="Times New Roman" w:eastAsia="Times New Roman" w:hAnsi="Times New Roman" w:cs="Times New Roman"/>
                <w:color w:val="000000"/>
                <w:sz w:val="18"/>
                <w:szCs w:val="18"/>
              </w:rPr>
              <w:br/>
              <w:t xml:space="preserve">entro il quinquennio                                                                                                                (Punti 2)  </w:t>
            </w:r>
            <w:r>
              <w:rPr>
                <w:rFonts w:ascii="Times New Roman" w:eastAsia="Times New Roman" w:hAnsi="Times New Roman" w:cs="Times New Roman"/>
                <w:color w:val="000000"/>
                <w:sz w:val="18"/>
                <w:szCs w:val="18"/>
              </w:rPr>
              <w:br/>
              <w:t xml:space="preserve">oltre il quinquennio                    </w:t>
            </w:r>
            <w:r>
              <w:rPr>
                <w:rFonts w:ascii="Times New Roman" w:eastAsia="Times New Roman" w:hAnsi="Times New Roman" w:cs="Times New Roman"/>
                <w:color w:val="000000"/>
                <w:sz w:val="18"/>
                <w:szCs w:val="18"/>
              </w:rPr>
              <w:t xml:space="preserve">                                                                                             (Punti 3)  </w:t>
            </w:r>
            <w:r>
              <w:rPr>
                <w:rFonts w:ascii="Times New Roman" w:eastAsia="Times New Roman" w:hAnsi="Times New Roman" w:cs="Times New Roman"/>
                <w:color w:val="000000"/>
                <w:sz w:val="18"/>
                <w:szCs w:val="18"/>
              </w:rPr>
              <w:br/>
              <w:t xml:space="preserve">per il servizio prestato nelle piccole isole il punteggio si raddoppia </w:t>
            </w:r>
          </w:p>
        </w:tc>
        <w:tc>
          <w:tcPr>
            <w:tcW w:w="537" w:type="dxa"/>
            <w:tcBorders>
              <w:top w:val="single" w:sz="4" w:space="0" w:color="000000"/>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jc w:val="center"/>
        </w:trPr>
        <w:tc>
          <w:tcPr>
            <w:tcW w:w="7236" w:type="dxa"/>
            <w:vMerge/>
            <w:tcBorders>
              <w:top w:val="single" w:sz="4" w:space="0" w:color="000000"/>
              <w:left w:val="single" w:sz="4" w:space="0" w:color="000000"/>
              <w:right w:val="single" w:sz="4" w:space="0" w:color="000000"/>
            </w:tcBorders>
            <w:vAlign w:val="center"/>
          </w:tcPr>
          <w:p w:rsidR="00F9241C" w:rsidRDefault="00F9241C">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jc w:val="center"/>
        </w:trPr>
        <w:tc>
          <w:tcPr>
            <w:tcW w:w="7236" w:type="dxa"/>
            <w:vMerge/>
            <w:tcBorders>
              <w:top w:val="single" w:sz="4" w:space="0" w:color="000000"/>
              <w:left w:val="single" w:sz="4" w:space="0" w:color="000000"/>
              <w:right w:val="single" w:sz="4" w:space="0" w:color="000000"/>
            </w:tcBorders>
            <w:vAlign w:val="center"/>
          </w:tcPr>
          <w:p w:rsidR="00F9241C" w:rsidRDefault="00F9241C">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jc w:val="center"/>
        </w:trPr>
        <w:tc>
          <w:tcPr>
            <w:tcW w:w="7236" w:type="dxa"/>
            <w:vMerge/>
            <w:tcBorders>
              <w:top w:val="single" w:sz="4" w:space="0" w:color="000000"/>
              <w:left w:val="single" w:sz="4" w:space="0" w:color="000000"/>
              <w:right w:val="single" w:sz="4" w:space="0" w:color="000000"/>
            </w:tcBorders>
            <w:vAlign w:val="center"/>
          </w:tcPr>
          <w:p w:rsidR="00F9241C" w:rsidRDefault="00F9241C">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jc w:val="center"/>
        </w:trPr>
        <w:tc>
          <w:tcPr>
            <w:tcW w:w="7236" w:type="dxa"/>
            <w:vMerge/>
            <w:tcBorders>
              <w:top w:val="single" w:sz="4" w:space="0" w:color="000000"/>
              <w:left w:val="single" w:sz="4" w:space="0" w:color="000000"/>
              <w:right w:val="single" w:sz="4" w:space="0" w:color="000000"/>
            </w:tcBorders>
            <w:vAlign w:val="center"/>
          </w:tcPr>
          <w:p w:rsidR="00F9241C" w:rsidRDefault="00F9241C">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jc w:val="center"/>
        </w:trPr>
        <w:tc>
          <w:tcPr>
            <w:tcW w:w="7236" w:type="dxa"/>
            <w:vMerge/>
            <w:tcBorders>
              <w:top w:val="single" w:sz="4" w:space="0" w:color="000000"/>
              <w:left w:val="single" w:sz="4" w:space="0" w:color="000000"/>
              <w:right w:val="single" w:sz="4" w:space="0" w:color="000000"/>
            </w:tcBorders>
            <w:vAlign w:val="center"/>
          </w:tcPr>
          <w:p w:rsidR="00F9241C" w:rsidRDefault="00F9241C">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jc w:val="center"/>
        </w:trPr>
        <w:tc>
          <w:tcPr>
            <w:tcW w:w="7236" w:type="dxa"/>
            <w:vMerge/>
            <w:tcBorders>
              <w:top w:val="single" w:sz="4" w:space="0" w:color="000000"/>
              <w:left w:val="single" w:sz="4" w:space="0" w:color="000000"/>
              <w:right w:val="single" w:sz="4" w:space="0" w:color="000000"/>
            </w:tcBorders>
            <w:vAlign w:val="center"/>
          </w:tcPr>
          <w:p w:rsidR="00F9241C" w:rsidRDefault="00F9241C">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jc w:val="center"/>
        </w:trPr>
        <w:tc>
          <w:tcPr>
            <w:tcW w:w="7236" w:type="dxa"/>
            <w:vMerge/>
            <w:tcBorders>
              <w:top w:val="single" w:sz="4" w:space="0" w:color="000000"/>
              <w:left w:val="single" w:sz="4" w:space="0" w:color="000000"/>
              <w:right w:val="single" w:sz="4" w:space="0" w:color="000000"/>
            </w:tcBorders>
            <w:vAlign w:val="center"/>
          </w:tcPr>
          <w:p w:rsidR="00F9241C" w:rsidRDefault="00F9241C">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jc w:val="center"/>
        </w:trPr>
        <w:tc>
          <w:tcPr>
            <w:tcW w:w="7236" w:type="dxa"/>
            <w:vMerge/>
            <w:tcBorders>
              <w:top w:val="single" w:sz="4" w:space="0" w:color="000000"/>
              <w:left w:val="single" w:sz="4" w:space="0" w:color="000000"/>
              <w:right w:val="single" w:sz="4" w:space="0" w:color="000000"/>
            </w:tcBorders>
            <w:vAlign w:val="center"/>
          </w:tcPr>
          <w:p w:rsidR="00F9241C" w:rsidRDefault="00F9241C">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jc w:val="center"/>
        </w:trPr>
        <w:tc>
          <w:tcPr>
            <w:tcW w:w="7236" w:type="dxa"/>
            <w:tcBorders>
              <w:left w:val="single" w:sz="4" w:space="0" w:color="000000"/>
              <w:bottom w:val="single" w:sz="4" w:space="0" w:color="000000"/>
              <w:right w:val="single" w:sz="4" w:space="0" w:color="000000"/>
            </w:tcBorders>
            <w:vAlign w:val="center"/>
          </w:tcPr>
          <w:p w:rsidR="00F9241C" w:rsidRDefault="006E4B77">
            <w:pPr>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C0)</w:t>
            </w:r>
            <w:r>
              <w:rPr>
                <w:color w:val="000000"/>
                <w:sz w:val="18"/>
                <w:szCs w:val="18"/>
              </w:rPr>
              <w:t xml:space="preserve">  per ogni anno di servizio di ruolo prestato nella sede (comune)di attuale titolarità prestato senza soluzione di continuità in aggiunta a quello previsto dalle lettere A), A1), B), B1), B2), B3)  (punti 1)</w:t>
            </w:r>
          </w:p>
        </w:tc>
        <w:tc>
          <w:tcPr>
            <w:tcW w:w="537" w:type="dxa"/>
            <w:tcBorders>
              <w:top w:val="nil"/>
              <w:left w:val="single" w:sz="4" w:space="0" w:color="000000"/>
              <w:bottom w:val="single" w:sz="4" w:space="0" w:color="000000"/>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jc w:val="center"/>
        </w:trPr>
        <w:tc>
          <w:tcPr>
            <w:tcW w:w="7236" w:type="dxa"/>
            <w:vMerge w:val="restart"/>
            <w:tcBorders>
              <w:top w:val="single" w:sz="4" w:space="0" w:color="000000"/>
              <w:left w:val="single" w:sz="4" w:space="0" w:color="000000"/>
              <w:right w:val="single" w:sz="4" w:space="0" w:color="000000"/>
            </w:tcBorders>
            <w:vAlign w:val="center"/>
          </w:tcPr>
          <w:p w:rsidR="00F9241C" w:rsidRDefault="006E4B77">
            <w:pPr>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C1) per la sola scuola primaria:</w:t>
            </w:r>
            <w:r>
              <w:rPr>
                <w:rFonts w:ascii="Times New Roman" w:eastAsia="Times New Roman" w:hAnsi="Times New Roman" w:cs="Times New Roman"/>
                <w:color w:val="000000"/>
                <w:sz w:val="18"/>
                <w:szCs w:val="18"/>
              </w:rPr>
              <w:br/>
            </w:r>
            <w:r>
              <w:rPr>
                <w:rFonts w:ascii="Times New Roman" w:eastAsia="Times New Roman" w:hAnsi="Times New Roman" w:cs="Times New Roman"/>
                <w:color w:val="000000"/>
                <w:sz w:val="18"/>
                <w:szCs w:val="18"/>
              </w:rPr>
              <w:t>- per il servizio di ruolo effettivamente prestato per un solo triennio senza soluzione di continuità, a partire dall'anno scolastico 92/93 fino all' anno scolastico 97/98, come docente "specializzato" per l'insegnamento della lingua straniera (in aggiunta</w:t>
            </w:r>
            <w:r>
              <w:rPr>
                <w:rFonts w:ascii="Times New Roman" w:eastAsia="Times New Roman" w:hAnsi="Times New Roman" w:cs="Times New Roman"/>
                <w:color w:val="000000"/>
                <w:sz w:val="18"/>
                <w:szCs w:val="18"/>
              </w:rPr>
              <w:t xml:space="preserve"> a quello previsto dalle lettere A), A1), B), B2), B3), C)                                                                                                                                  (Punti 1,5)</w:t>
            </w:r>
            <w:r>
              <w:rPr>
                <w:rFonts w:ascii="Times New Roman" w:eastAsia="Times New Roman" w:hAnsi="Times New Roman" w:cs="Times New Roman"/>
                <w:color w:val="000000"/>
                <w:sz w:val="18"/>
                <w:szCs w:val="18"/>
              </w:rPr>
              <w:br/>
              <w:t>- per il servizio di ruolo effettivamente prestato per u</w:t>
            </w:r>
            <w:r>
              <w:rPr>
                <w:rFonts w:ascii="Times New Roman" w:eastAsia="Times New Roman" w:hAnsi="Times New Roman" w:cs="Times New Roman"/>
                <w:color w:val="000000"/>
                <w:sz w:val="18"/>
                <w:szCs w:val="18"/>
              </w:rPr>
              <w:t xml:space="preserve">n solo triennio senza soluzione di continuità, a partire dall' anno scolastico 92/93 fino all' anno scolastico 97/98, come docente "specialista" per l'insegnamento della lingua straniera (in aggiunta a quello previsto dalle lettere A, A1, B, B2, B3, C)    </w:t>
            </w:r>
            <w:r>
              <w:rPr>
                <w:rFonts w:ascii="Times New Roman" w:eastAsia="Times New Roman" w:hAnsi="Times New Roman" w:cs="Times New Roman"/>
                <w:color w:val="000000"/>
                <w:sz w:val="18"/>
                <w:szCs w:val="18"/>
              </w:rPr>
              <w:t xml:space="preserve">                                                                                                                                       (Punti 3) </w:t>
            </w:r>
          </w:p>
        </w:tc>
        <w:tc>
          <w:tcPr>
            <w:tcW w:w="537" w:type="dxa"/>
            <w:tcBorders>
              <w:top w:val="single" w:sz="4" w:space="0" w:color="000000"/>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jc w:val="center"/>
        </w:trPr>
        <w:tc>
          <w:tcPr>
            <w:tcW w:w="7236" w:type="dxa"/>
            <w:vMerge/>
            <w:tcBorders>
              <w:top w:val="single" w:sz="4" w:space="0" w:color="000000"/>
              <w:left w:val="single" w:sz="4" w:space="0" w:color="000000"/>
              <w:right w:val="single" w:sz="4" w:space="0" w:color="000000"/>
            </w:tcBorders>
            <w:vAlign w:val="center"/>
          </w:tcPr>
          <w:p w:rsidR="00F9241C" w:rsidRDefault="00F9241C">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jc w:val="center"/>
        </w:trPr>
        <w:tc>
          <w:tcPr>
            <w:tcW w:w="7236" w:type="dxa"/>
            <w:vMerge/>
            <w:tcBorders>
              <w:top w:val="single" w:sz="4" w:space="0" w:color="000000"/>
              <w:left w:val="single" w:sz="4" w:space="0" w:color="000000"/>
              <w:right w:val="single" w:sz="4" w:space="0" w:color="000000"/>
            </w:tcBorders>
            <w:vAlign w:val="center"/>
          </w:tcPr>
          <w:p w:rsidR="00F9241C" w:rsidRDefault="00F9241C">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jc w:val="center"/>
        </w:trPr>
        <w:tc>
          <w:tcPr>
            <w:tcW w:w="7236" w:type="dxa"/>
            <w:vMerge/>
            <w:tcBorders>
              <w:top w:val="single" w:sz="4" w:space="0" w:color="000000"/>
              <w:left w:val="single" w:sz="4" w:space="0" w:color="000000"/>
              <w:right w:val="single" w:sz="4" w:space="0" w:color="000000"/>
            </w:tcBorders>
            <w:vAlign w:val="center"/>
          </w:tcPr>
          <w:p w:rsidR="00F9241C" w:rsidRDefault="00F9241C">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jc w:val="center"/>
        </w:trPr>
        <w:tc>
          <w:tcPr>
            <w:tcW w:w="7236" w:type="dxa"/>
            <w:vMerge/>
            <w:tcBorders>
              <w:top w:val="single" w:sz="4" w:space="0" w:color="000000"/>
              <w:left w:val="single" w:sz="4" w:space="0" w:color="000000"/>
              <w:right w:val="single" w:sz="4" w:space="0" w:color="000000"/>
            </w:tcBorders>
            <w:vAlign w:val="center"/>
          </w:tcPr>
          <w:p w:rsidR="00F9241C" w:rsidRDefault="00F9241C">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jc w:val="center"/>
        </w:trPr>
        <w:tc>
          <w:tcPr>
            <w:tcW w:w="7236" w:type="dxa"/>
            <w:vMerge/>
            <w:tcBorders>
              <w:top w:val="single" w:sz="4" w:space="0" w:color="000000"/>
              <w:left w:val="single" w:sz="4" w:space="0" w:color="000000"/>
              <w:right w:val="single" w:sz="4" w:space="0" w:color="000000"/>
            </w:tcBorders>
            <w:vAlign w:val="center"/>
          </w:tcPr>
          <w:p w:rsidR="00F9241C" w:rsidRDefault="00F9241C">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jc w:val="center"/>
        </w:trPr>
        <w:tc>
          <w:tcPr>
            <w:tcW w:w="7236" w:type="dxa"/>
            <w:vMerge/>
            <w:tcBorders>
              <w:top w:val="single" w:sz="4" w:space="0" w:color="000000"/>
              <w:left w:val="single" w:sz="4" w:space="0" w:color="000000"/>
              <w:right w:val="single" w:sz="4" w:space="0" w:color="000000"/>
            </w:tcBorders>
            <w:vAlign w:val="center"/>
          </w:tcPr>
          <w:p w:rsidR="00F9241C" w:rsidRDefault="00F9241C">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jc w:val="center"/>
        </w:trPr>
        <w:tc>
          <w:tcPr>
            <w:tcW w:w="7236" w:type="dxa"/>
            <w:vMerge/>
            <w:tcBorders>
              <w:top w:val="single" w:sz="4" w:space="0" w:color="000000"/>
              <w:left w:val="single" w:sz="4" w:space="0" w:color="000000"/>
              <w:right w:val="single" w:sz="4" w:space="0" w:color="000000"/>
            </w:tcBorders>
            <w:vAlign w:val="center"/>
          </w:tcPr>
          <w:p w:rsidR="00F9241C" w:rsidRDefault="00F9241C">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jc w:val="center"/>
        </w:trPr>
        <w:tc>
          <w:tcPr>
            <w:tcW w:w="7236" w:type="dxa"/>
            <w:vMerge/>
            <w:tcBorders>
              <w:top w:val="single" w:sz="4" w:space="0" w:color="000000"/>
              <w:left w:val="single" w:sz="4" w:space="0" w:color="000000"/>
              <w:right w:val="single" w:sz="4" w:space="0" w:color="000000"/>
            </w:tcBorders>
            <w:vAlign w:val="center"/>
          </w:tcPr>
          <w:p w:rsidR="00F9241C" w:rsidRDefault="00F9241C">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jc w:val="center"/>
        </w:trPr>
        <w:tc>
          <w:tcPr>
            <w:tcW w:w="7236" w:type="dxa"/>
            <w:vMerge w:val="restart"/>
            <w:tcBorders>
              <w:top w:val="single" w:sz="4" w:space="0" w:color="000000"/>
              <w:left w:val="single" w:sz="4" w:space="0" w:color="000000"/>
              <w:right w:val="single" w:sz="4" w:space="0" w:color="000000"/>
            </w:tcBorders>
            <w:vAlign w:val="center"/>
          </w:tcPr>
          <w:p w:rsidR="00F9241C" w:rsidRDefault="00F9241C">
            <w:pPr>
              <w:widowControl w:val="0"/>
              <w:pBdr>
                <w:top w:val="nil"/>
                <w:left w:val="nil"/>
                <w:bottom w:val="nil"/>
                <w:right w:val="nil"/>
                <w:between w:val="nil"/>
              </w:pBdr>
              <w:rPr>
                <w:rFonts w:ascii="Times New Roman" w:eastAsia="Times New Roman" w:hAnsi="Times New Roman" w:cs="Times New Roman"/>
                <w:color w:val="000000"/>
                <w:sz w:val="18"/>
                <w:szCs w:val="18"/>
              </w:rPr>
            </w:pPr>
          </w:p>
          <w:p w:rsidR="00F9241C" w:rsidRDefault="006E4B77">
            <w:pPr>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xml:space="preserve">D) a coloro che, per un triennio, a decorrere dalle operazioni di mobilità per </w:t>
            </w:r>
            <w:proofErr w:type="spellStart"/>
            <w:r>
              <w:rPr>
                <w:rFonts w:ascii="Times New Roman" w:eastAsia="Times New Roman" w:hAnsi="Times New Roman" w:cs="Times New Roman"/>
                <w:color w:val="000000"/>
                <w:sz w:val="18"/>
                <w:szCs w:val="18"/>
              </w:rPr>
              <w:t>l'a.s.</w:t>
            </w:r>
            <w:proofErr w:type="spellEnd"/>
            <w:r>
              <w:rPr>
                <w:rFonts w:ascii="Times New Roman" w:eastAsia="Times New Roman" w:hAnsi="Times New Roman" w:cs="Times New Roman"/>
                <w:color w:val="000000"/>
                <w:sz w:val="18"/>
                <w:szCs w:val="18"/>
              </w:rPr>
              <w:t xml:space="preserve"> 2000/2001 e fino </w:t>
            </w:r>
            <w:proofErr w:type="spellStart"/>
            <w:r>
              <w:rPr>
                <w:rFonts w:ascii="Times New Roman" w:eastAsia="Times New Roman" w:hAnsi="Times New Roman" w:cs="Times New Roman"/>
                <w:color w:val="000000"/>
                <w:sz w:val="18"/>
                <w:szCs w:val="18"/>
              </w:rPr>
              <w:t>all'a.s.</w:t>
            </w:r>
            <w:proofErr w:type="spellEnd"/>
            <w:r>
              <w:rPr>
                <w:rFonts w:ascii="Times New Roman" w:eastAsia="Times New Roman" w:hAnsi="Times New Roman" w:cs="Times New Roman"/>
                <w:color w:val="000000"/>
                <w:sz w:val="18"/>
                <w:szCs w:val="18"/>
              </w:rPr>
              <w:t xml:space="preserve"> 2007/2008, non abbiano presentato domanda di trasferimento provinciale o passaggio provinciale o, pur avendo presentato domanda, l'abbiano revoc</w:t>
            </w:r>
            <w:r>
              <w:rPr>
                <w:rFonts w:ascii="Times New Roman" w:eastAsia="Times New Roman" w:hAnsi="Times New Roman" w:cs="Times New Roman"/>
                <w:color w:val="000000"/>
                <w:sz w:val="18"/>
                <w:szCs w:val="18"/>
              </w:rPr>
              <w:t xml:space="preserve">ata nei termini previsti, è riconosciuto, per il predetto triennio, una tantum, un punteggio aggiuntivo di (5ter)           (Punti 10) </w:t>
            </w:r>
          </w:p>
        </w:tc>
        <w:tc>
          <w:tcPr>
            <w:tcW w:w="537" w:type="dxa"/>
            <w:tcBorders>
              <w:top w:val="single" w:sz="4" w:space="0" w:color="000000"/>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jc w:val="center"/>
        </w:trPr>
        <w:tc>
          <w:tcPr>
            <w:tcW w:w="7236" w:type="dxa"/>
            <w:vMerge/>
            <w:tcBorders>
              <w:top w:val="single" w:sz="4" w:space="0" w:color="000000"/>
              <w:left w:val="single" w:sz="4" w:space="0" w:color="000000"/>
              <w:right w:val="single" w:sz="4" w:space="0" w:color="000000"/>
            </w:tcBorders>
            <w:vAlign w:val="center"/>
          </w:tcPr>
          <w:p w:rsidR="00F9241C" w:rsidRDefault="00F9241C">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jc w:val="center"/>
        </w:trPr>
        <w:tc>
          <w:tcPr>
            <w:tcW w:w="7236" w:type="dxa"/>
            <w:vMerge/>
            <w:tcBorders>
              <w:top w:val="single" w:sz="4" w:space="0" w:color="000000"/>
              <w:left w:val="single" w:sz="4" w:space="0" w:color="000000"/>
              <w:right w:val="single" w:sz="4" w:space="0" w:color="000000"/>
            </w:tcBorders>
            <w:vAlign w:val="center"/>
          </w:tcPr>
          <w:p w:rsidR="00F9241C" w:rsidRDefault="00F9241C">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jc w:val="center"/>
        </w:trPr>
        <w:tc>
          <w:tcPr>
            <w:tcW w:w="7236" w:type="dxa"/>
            <w:vMerge/>
            <w:tcBorders>
              <w:top w:val="single" w:sz="4" w:space="0" w:color="000000"/>
              <w:left w:val="single" w:sz="4" w:space="0" w:color="000000"/>
              <w:right w:val="single" w:sz="4" w:space="0" w:color="000000"/>
            </w:tcBorders>
            <w:vAlign w:val="center"/>
          </w:tcPr>
          <w:p w:rsidR="00F9241C" w:rsidRDefault="00F9241C">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jc w:val="center"/>
        </w:trPr>
        <w:tc>
          <w:tcPr>
            <w:tcW w:w="7236" w:type="dxa"/>
            <w:vMerge/>
            <w:tcBorders>
              <w:top w:val="single" w:sz="4" w:space="0" w:color="000000"/>
              <w:left w:val="single" w:sz="4" w:space="0" w:color="000000"/>
              <w:right w:val="single" w:sz="4" w:space="0" w:color="000000"/>
            </w:tcBorders>
            <w:vAlign w:val="center"/>
          </w:tcPr>
          <w:p w:rsidR="00F9241C" w:rsidRDefault="00F9241C">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jc w:val="center"/>
        </w:trPr>
        <w:tc>
          <w:tcPr>
            <w:tcW w:w="7236" w:type="dxa"/>
            <w:tcBorders>
              <w:left w:val="single" w:sz="4" w:space="0" w:color="000000"/>
              <w:bottom w:val="single" w:sz="4" w:space="0" w:color="000000"/>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bl>
    <w:p w:rsidR="00F9241C" w:rsidRDefault="006E4B77">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II - ESIGENZE DI FAMIGLIA (6) (7):</w:t>
      </w:r>
    </w:p>
    <w:tbl>
      <w:tblPr>
        <w:tblStyle w:val="a3"/>
        <w:tblW w:w="96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3"/>
        <w:gridCol w:w="1274"/>
        <w:gridCol w:w="1181"/>
      </w:tblGrid>
      <w:tr w:rsidR="00F9241C">
        <w:trPr>
          <w:trHeight w:val="489"/>
        </w:trPr>
        <w:tc>
          <w:tcPr>
            <w:tcW w:w="7193" w:type="dxa"/>
            <w:vAlign w:val="center"/>
          </w:tcPr>
          <w:p w:rsidR="00F9241C" w:rsidRDefault="006E4B77">
            <w:pPr>
              <w:widowControl w:val="0"/>
              <w:pBdr>
                <w:top w:val="nil"/>
                <w:left w:val="nil"/>
                <w:bottom w:val="nil"/>
                <w:right w:val="nil"/>
                <w:between w:val="nil"/>
              </w:pBdr>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18"/>
                <w:szCs w:val="18"/>
              </w:rPr>
              <w:t xml:space="preserve">Tipo di esigenza </w:t>
            </w:r>
          </w:p>
        </w:tc>
        <w:tc>
          <w:tcPr>
            <w:tcW w:w="1274" w:type="dxa"/>
            <w:vAlign w:val="center"/>
          </w:tcPr>
          <w:p w:rsidR="00F9241C" w:rsidRDefault="006E4B77">
            <w:pPr>
              <w:widowControl w:val="0"/>
              <w:pBdr>
                <w:top w:val="nil"/>
                <w:left w:val="nil"/>
                <w:bottom w:val="nil"/>
                <w:right w:val="nil"/>
                <w:between w:val="nil"/>
              </w:pBdr>
              <w:ind w:left="8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Punti </w:t>
            </w:r>
          </w:p>
        </w:tc>
        <w:tc>
          <w:tcPr>
            <w:tcW w:w="1181" w:type="dxa"/>
            <w:vAlign w:val="center"/>
          </w:tcPr>
          <w:p w:rsidR="00F9241C" w:rsidRDefault="006E4B77">
            <w:pPr>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Riservato al </w:t>
            </w:r>
          </w:p>
          <w:p w:rsidR="00F9241C" w:rsidRDefault="006E4B77">
            <w:pPr>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Dir.Scol</w:t>
            </w:r>
            <w:proofErr w:type="spellEnd"/>
            <w:r>
              <w:rPr>
                <w:rFonts w:ascii="Times New Roman" w:eastAsia="Times New Roman" w:hAnsi="Times New Roman" w:cs="Times New Roman"/>
                <w:color w:val="000000"/>
                <w:sz w:val="18"/>
                <w:szCs w:val="18"/>
              </w:rPr>
              <w:t xml:space="preserve">. </w:t>
            </w:r>
          </w:p>
        </w:tc>
      </w:tr>
      <w:tr w:rsidR="00F9241C">
        <w:trPr>
          <w:trHeight w:val="671"/>
        </w:trPr>
        <w:tc>
          <w:tcPr>
            <w:tcW w:w="7193" w:type="dxa"/>
            <w:vAlign w:val="center"/>
          </w:tcPr>
          <w:p w:rsidR="00F9241C" w:rsidRDefault="006E4B77">
            <w:pPr>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cs="Times New Roman"/>
                <w:color w:val="000000"/>
                <w:sz w:val="18"/>
                <w:szCs w:val="18"/>
              </w:rPr>
              <w:t xml:space="preserve">                                                            (Punti 6)</w:t>
            </w:r>
          </w:p>
        </w:tc>
        <w:tc>
          <w:tcPr>
            <w:tcW w:w="1274" w:type="dxa"/>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81" w:type="dxa"/>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trHeight w:val="240"/>
        </w:trPr>
        <w:tc>
          <w:tcPr>
            <w:tcW w:w="7193" w:type="dxa"/>
            <w:vAlign w:val="center"/>
          </w:tcPr>
          <w:p w:rsidR="00F9241C" w:rsidRDefault="006E4B77">
            <w:pPr>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 per ogni figlio di età inferiore a sei anni (8)                                                                      (Punti 4) </w:t>
            </w:r>
          </w:p>
        </w:tc>
        <w:tc>
          <w:tcPr>
            <w:tcW w:w="1274" w:type="dxa"/>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81" w:type="dxa"/>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trHeight w:val="700"/>
        </w:trPr>
        <w:tc>
          <w:tcPr>
            <w:tcW w:w="7193" w:type="dxa"/>
            <w:vAlign w:val="center"/>
          </w:tcPr>
          <w:p w:rsidR="00F9241C" w:rsidRDefault="006E4B77">
            <w:pPr>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cs="Times New Roman"/>
                <w:color w:val="000000"/>
                <w:sz w:val="18"/>
                <w:szCs w:val="18"/>
              </w:rPr>
              <w:t xml:space="preserve">                                                                         (Punti 3) </w:t>
            </w:r>
          </w:p>
        </w:tc>
        <w:tc>
          <w:tcPr>
            <w:tcW w:w="1274" w:type="dxa"/>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81" w:type="dxa"/>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trHeight w:val="695"/>
        </w:trPr>
        <w:tc>
          <w:tcPr>
            <w:tcW w:w="7193" w:type="dxa"/>
            <w:vAlign w:val="center"/>
          </w:tcPr>
          <w:p w:rsidR="00F9241C" w:rsidRDefault="006E4B77">
            <w:pPr>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rFonts w:ascii="Times New Roman" w:eastAsia="Times New Roman" w:hAnsi="Times New Roman" w:cs="Times New Roman"/>
                <w:color w:val="000000"/>
                <w:sz w:val="18"/>
                <w:szCs w:val="18"/>
              </w:rPr>
              <w:t xml:space="preserve">                                                                    (Punti 6) </w:t>
            </w:r>
          </w:p>
        </w:tc>
        <w:tc>
          <w:tcPr>
            <w:tcW w:w="1274" w:type="dxa"/>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81" w:type="dxa"/>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bl>
    <w:p w:rsidR="00F9241C" w:rsidRDefault="00F9241C">
      <w:pPr>
        <w:widowControl w:val="0"/>
        <w:pBdr>
          <w:top w:val="nil"/>
          <w:left w:val="nil"/>
          <w:bottom w:val="nil"/>
          <w:right w:val="nil"/>
          <w:between w:val="nil"/>
        </w:pBdr>
        <w:rPr>
          <w:rFonts w:ascii="Times New Roman" w:eastAsia="Times New Roman" w:hAnsi="Times New Roman" w:cs="Times New Roman"/>
          <w:color w:val="000000"/>
        </w:rPr>
      </w:pPr>
    </w:p>
    <w:p w:rsidR="00F9241C" w:rsidRDefault="006E4B77">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III - TITOLI GENERALI (15):</w:t>
      </w:r>
    </w:p>
    <w:tbl>
      <w:tblPr>
        <w:tblStyle w:val="a4"/>
        <w:tblW w:w="96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62"/>
        <w:gridCol w:w="662"/>
        <w:gridCol w:w="924"/>
      </w:tblGrid>
      <w:tr w:rsidR="00F9241C">
        <w:trPr>
          <w:trHeight w:val="604"/>
        </w:trPr>
        <w:tc>
          <w:tcPr>
            <w:tcW w:w="8062" w:type="dxa"/>
            <w:vAlign w:val="center"/>
          </w:tcPr>
          <w:p w:rsidR="00F9241C" w:rsidRDefault="006E4B77">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Tipo di titolo </w:t>
            </w:r>
          </w:p>
        </w:tc>
        <w:tc>
          <w:tcPr>
            <w:tcW w:w="662" w:type="dxa"/>
            <w:vAlign w:val="center"/>
          </w:tcPr>
          <w:p w:rsidR="00F9241C" w:rsidRDefault="006E4B77">
            <w:pPr>
              <w:widowControl w:val="0"/>
              <w:pBdr>
                <w:top w:val="nil"/>
                <w:left w:val="nil"/>
                <w:bottom w:val="nil"/>
                <w:right w:val="nil"/>
                <w:between w:val="nil"/>
              </w:pBdr>
              <w:ind w:left="8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Punti </w:t>
            </w:r>
          </w:p>
        </w:tc>
        <w:tc>
          <w:tcPr>
            <w:tcW w:w="924" w:type="dxa"/>
            <w:vAlign w:val="center"/>
          </w:tcPr>
          <w:p w:rsidR="00F9241C" w:rsidRDefault="006E4B77">
            <w:pPr>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Riservato al  </w:t>
            </w:r>
            <w:proofErr w:type="spellStart"/>
            <w:r>
              <w:rPr>
                <w:rFonts w:ascii="Times New Roman" w:eastAsia="Times New Roman" w:hAnsi="Times New Roman" w:cs="Times New Roman"/>
                <w:color w:val="000000"/>
                <w:sz w:val="18"/>
                <w:szCs w:val="18"/>
              </w:rPr>
              <w:t>Dir.Scol</w:t>
            </w:r>
            <w:proofErr w:type="spellEnd"/>
            <w:r>
              <w:rPr>
                <w:rFonts w:ascii="Times New Roman" w:eastAsia="Times New Roman" w:hAnsi="Times New Roman" w:cs="Times New Roman"/>
                <w:color w:val="000000"/>
                <w:sz w:val="18"/>
                <w:szCs w:val="18"/>
              </w:rPr>
              <w:t xml:space="preserve">. </w:t>
            </w:r>
          </w:p>
        </w:tc>
      </w:tr>
      <w:tr w:rsidR="00F9241C">
        <w:trPr>
          <w:trHeight w:val="705"/>
        </w:trPr>
        <w:tc>
          <w:tcPr>
            <w:tcW w:w="8062" w:type="dxa"/>
            <w:vAlign w:val="center"/>
          </w:tcPr>
          <w:p w:rsidR="00F9241C" w:rsidRDefault="006E4B77">
            <w:pPr>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 per il superamento di un pubblico concorso ordinario per esami e titoli, per l'accesso al  ruolo di appartenenza (1), al momento della presentazione della domanda, o a ruoli di livello  pari o superiore a quello di appartenenza (10)                     </w:t>
            </w:r>
            <w:r>
              <w:rPr>
                <w:rFonts w:ascii="Times New Roman" w:eastAsia="Times New Roman" w:hAnsi="Times New Roman" w:cs="Times New Roman"/>
                <w:color w:val="000000"/>
                <w:sz w:val="18"/>
                <w:szCs w:val="18"/>
              </w:rPr>
              <w:t xml:space="preserve">                                                                                         (Punti 12</w:t>
            </w:r>
            <w:r>
              <w:rPr>
                <w:rFonts w:ascii="Arial" w:eastAsia="Arial" w:hAnsi="Arial" w:cs="Arial"/>
                <w:color w:val="000000"/>
                <w:sz w:val="18"/>
                <w:szCs w:val="18"/>
              </w:rPr>
              <w:t xml:space="preserve">) </w:t>
            </w:r>
          </w:p>
        </w:tc>
        <w:tc>
          <w:tcPr>
            <w:tcW w:w="662" w:type="dxa"/>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trHeight w:val="1840"/>
        </w:trPr>
        <w:tc>
          <w:tcPr>
            <w:tcW w:w="8062" w:type="dxa"/>
            <w:vAlign w:val="center"/>
          </w:tcPr>
          <w:p w:rsidR="00F9241C" w:rsidRDefault="006E4B77">
            <w:pPr>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 per ogni diploma di specializzazione conseguito in corsi post-laurea previsti dagli statuti  ovvero dal D.P.R. n. 162/82, ovvero dalla legge n. 341/90 (artt. 4, 6, 8) ovvero dal decreto n.  509/99 attivati dalle università statali o libere ovvero da ist</w:t>
            </w:r>
            <w:r>
              <w:rPr>
                <w:rFonts w:ascii="Times New Roman" w:eastAsia="Times New Roman" w:hAnsi="Times New Roman" w:cs="Times New Roman"/>
                <w:color w:val="000000"/>
                <w:sz w:val="18"/>
                <w:szCs w:val="18"/>
              </w:rPr>
              <w:t>ituti universitari statali o pareggiati,  ovvero in corsi attivati da amministrazioni e/o istituti pubblici purché i titoli siano riconosciuti  equipollenti dai competenti organismi universitari (11) e (11 bis), ivi compresi gli istituti di  educazione fis</w:t>
            </w:r>
            <w:r>
              <w:rPr>
                <w:rFonts w:ascii="Times New Roman" w:eastAsia="Times New Roman" w:hAnsi="Times New Roman" w:cs="Times New Roman"/>
                <w:color w:val="000000"/>
                <w:sz w:val="18"/>
                <w:szCs w:val="18"/>
              </w:rPr>
              <w:t>ica statali o pareggiati, nell'ambito delle scienze dell'educazione e/o nell'ambito  delle discipline attualmente insegnate dal docente</w:t>
            </w:r>
          </w:p>
          <w:p w:rsidR="00F9241C" w:rsidRDefault="006E4B77">
            <w:pPr>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per ogni diploma                                                                                                      </w:t>
            </w:r>
            <w:r>
              <w:rPr>
                <w:rFonts w:ascii="Times New Roman" w:eastAsia="Times New Roman" w:hAnsi="Times New Roman" w:cs="Times New Roman"/>
                <w:color w:val="000000"/>
                <w:sz w:val="18"/>
                <w:szCs w:val="18"/>
              </w:rPr>
              <w:t xml:space="preserve">                        (Punti 5)  </w:t>
            </w:r>
            <w:r>
              <w:rPr>
                <w:rFonts w:ascii="Times New Roman" w:eastAsia="Times New Roman" w:hAnsi="Times New Roman" w:cs="Times New Roman"/>
                <w:color w:val="000000"/>
                <w:sz w:val="18"/>
                <w:szCs w:val="18"/>
              </w:rPr>
              <w:br/>
              <w:t xml:space="preserve">(è valutabile un solo diploma, per lo stesso o gli stessi anni accademici o di corso) </w:t>
            </w:r>
          </w:p>
        </w:tc>
        <w:tc>
          <w:tcPr>
            <w:tcW w:w="662" w:type="dxa"/>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trHeight w:val="930"/>
        </w:trPr>
        <w:tc>
          <w:tcPr>
            <w:tcW w:w="8062" w:type="dxa"/>
            <w:vAlign w:val="center"/>
          </w:tcPr>
          <w:p w:rsidR="00F9241C" w:rsidRDefault="006E4B77">
            <w:pPr>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 per ogni diploma universitario (diploma accademico di primo livello, laurea di primo  livello o breve o diploma Istituto Superiore di Educazione Fisica (ISEF)) o diploma di  accademia di belle arti o di conservatorio di musica, conseguito oltre al titol</w:t>
            </w:r>
            <w:r>
              <w:rPr>
                <w:rFonts w:ascii="Times New Roman" w:eastAsia="Times New Roman" w:hAnsi="Times New Roman" w:cs="Times New Roman"/>
                <w:color w:val="000000"/>
                <w:sz w:val="18"/>
                <w:szCs w:val="18"/>
              </w:rPr>
              <w:t xml:space="preserve">o di studio  attualmente necessario per l'accesso al ruolo di appartenenza (12)               (Punti 3) </w:t>
            </w:r>
          </w:p>
        </w:tc>
        <w:tc>
          <w:tcPr>
            <w:tcW w:w="662" w:type="dxa"/>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trHeight w:val="1620"/>
        </w:trPr>
        <w:tc>
          <w:tcPr>
            <w:tcW w:w="8062" w:type="dxa"/>
            <w:vAlign w:val="center"/>
          </w:tcPr>
          <w:p w:rsidR="00F9241C" w:rsidRDefault="006E4B77">
            <w:pPr>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 per ogni corso di perfezionamento di durata non inferiore ad un anno, (13) previsto dagli  statuti ovvero dal D.P.R. n. 162/82, ovvero dalla legge n. 341/90 (artt. 4,6,8) ovvero dal  decreto n. 509/99, nonché per ogni master di 1 ° o di 2° livello attiv</w:t>
            </w:r>
            <w:r>
              <w:rPr>
                <w:rFonts w:ascii="Times New Roman" w:eastAsia="Times New Roman" w:hAnsi="Times New Roman" w:cs="Times New Roman"/>
                <w:color w:val="000000"/>
                <w:sz w:val="18"/>
                <w:szCs w:val="18"/>
              </w:rPr>
              <w:t>ati dalle università statali o  libere ovvero da istituti universitari statali o pareggiati (11 bis), ivi compresi gli istituti di  educazione fisica statali o pareggiati nell'ambito delle scienze dell'educazione e/o nell'ambito  delle discipline attualmen</w:t>
            </w:r>
            <w:r>
              <w:rPr>
                <w:rFonts w:ascii="Times New Roman" w:eastAsia="Times New Roman" w:hAnsi="Times New Roman" w:cs="Times New Roman"/>
                <w:color w:val="000000"/>
                <w:sz w:val="18"/>
                <w:szCs w:val="18"/>
              </w:rPr>
              <w:t xml:space="preserve">te insegnate dal docente (14) </w:t>
            </w:r>
          </w:p>
          <w:p w:rsidR="00F9241C" w:rsidRDefault="006E4B77">
            <w:pPr>
              <w:widowControl w:val="0"/>
              <w:pBdr>
                <w:top w:val="nil"/>
                <w:left w:val="nil"/>
                <w:bottom w:val="nil"/>
                <w:right w:val="nil"/>
                <w:between w:val="nil"/>
              </w:pBdr>
              <w:rPr>
                <w:rFonts w:ascii="Arial" w:eastAsia="Arial" w:hAnsi="Arial" w:cs="Arial"/>
                <w:color w:val="000000"/>
                <w:sz w:val="18"/>
                <w:szCs w:val="18"/>
              </w:rPr>
            </w:pPr>
            <w:r>
              <w:rPr>
                <w:rFonts w:ascii="Times New Roman" w:eastAsia="Times New Roman" w:hAnsi="Times New Roman" w:cs="Times New Roman"/>
                <w:color w:val="000000"/>
                <w:sz w:val="18"/>
                <w:szCs w:val="18"/>
              </w:rPr>
              <w:t>- per ogni corso                                                                                                                                   (Punti 1)</w:t>
            </w:r>
            <w:r>
              <w:rPr>
                <w:rFonts w:ascii="Arial" w:eastAsia="Arial" w:hAnsi="Arial" w:cs="Arial"/>
                <w:color w:val="000000"/>
                <w:sz w:val="18"/>
                <w:szCs w:val="18"/>
              </w:rPr>
              <w:t xml:space="preserve">  </w:t>
            </w:r>
          </w:p>
          <w:p w:rsidR="00F9241C" w:rsidRDefault="006E4B77">
            <w:pPr>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(è valutabile un solo corso, per lo stesso o gli stessi anni accad</w:t>
            </w:r>
            <w:r>
              <w:rPr>
                <w:rFonts w:ascii="Times New Roman" w:eastAsia="Times New Roman" w:hAnsi="Times New Roman" w:cs="Times New Roman"/>
                <w:color w:val="000000"/>
                <w:sz w:val="18"/>
                <w:szCs w:val="18"/>
              </w:rPr>
              <w:t xml:space="preserve">emici) </w:t>
            </w:r>
          </w:p>
        </w:tc>
        <w:tc>
          <w:tcPr>
            <w:tcW w:w="662" w:type="dxa"/>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trHeight w:val="959"/>
        </w:trPr>
        <w:tc>
          <w:tcPr>
            <w:tcW w:w="8062" w:type="dxa"/>
            <w:vAlign w:val="center"/>
          </w:tcPr>
          <w:p w:rsidR="00F9241C" w:rsidRDefault="006E4B77">
            <w:pPr>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 per ogni diploma di laurea con corso di durata almeno quadriennale (ivi compreso il  diploma di laurea in scienze motorie), per ogni diploma di laurea magistrale (specialistica),  per ogni diploma accademico di secondo livello conseguito oltre al titolo</w:t>
            </w:r>
            <w:r>
              <w:rPr>
                <w:rFonts w:ascii="Times New Roman" w:eastAsia="Times New Roman" w:hAnsi="Times New Roman" w:cs="Times New Roman"/>
                <w:color w:val="000000"/>
                <w:sz w:val="18"/>
                <w:szCs w:val="18"/>
              </w:rPr>
              <w:t xml:space="preserve"> di studio attualmente  necessario per l'accesso al ruolo di appartenenza (12)   (Punti 5) </w:t>
            </w:r>
          </w:p>
        </w:tc>
        <w:tc>
          <w:tcPr>
            <w:tcW w:w="662" w:type="dxa"/>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trHeight w:val="470"/>
        </w:trPr>
        <w:tc>
          <w:tcPr>
            <w:tcW w:w="8062" w:type="dxa"/>
            <w:vAlign w:val="center"/>
          </w:tcPr>
          <w:p w:rsidR="00F9241C" w:rsidRDefault="006E4B77">
            <w:pPr>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F) per il conseguimento del titolo di "dottorato di ricerca"(si valuta un solo titolo)                          (Punti 5)  </w:t>
            </w:r>
          </w:p>
          <w:p w:rsidR="00F9241C" w:rsidRDefault="006E4B77">
            <w:pPr>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(si valuta un solo titolo) </w:t>
            </w:r>
          </w:p>
        </w:tc>
        <w:tc>
          <w:tcPr>
            <w:tcW w:w="662" w:type="dxa"/>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trHeight w:val="1160"/>
        </w:trPr>
        <w:tc>
          <w:tcPr>
            <w:tcW w:w="8062" w:type="dxa"/>
            <w:vAlign w:val="center"/>
          </w:tcPr>
          <w:p w:rsidR="00F9241C" w:rsidRDefault="006E4B77">
            <w:pPr>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G) per la sola scuola primaria per la frequenza del corso di aggiornamento-formazione  linguistica e glottodidattica compreso nei piani attuati dal ministero, con la collaborazione  degli Uffici scolastici territorialmente competenti, delle istituzioni sco</w:t>
            </w:r>
            <w:r>
              <w:rPr>
                <w:rFonts w:ascii="Times New Roman" w:eastAsia="Times New Roman" w:hAnsi="Times New Roman" w:cs="Times New Roman"/>
                <w:color w:val="000000"/>
                <w:sz w:val="18"/>
                <w:szCs w:val="18"/>
              </w:rPr>
              <w:t xml:space="preserve">lastiche, degli istituti di  Ricerca (ex IRRSAE- IRRE, CEDE, BDP oggi, rispettivamente, INVALSI, INDIRE) e  dell'università (16)                               (Punti </w:t>
            </w:r>
            <w:r>
              <w:rPr>
                <w:rFonts w:ascii="Arial" w:eastAsia="Arial" w:hAnsi="Arial" w:cs="Arial"/>
                <w:color w:val="000000"/>
                <w:sz w:val="18"/>
                <w:szCs w:val="18"/>
              </w:rPr>
              <w:t xml:space="preserve">1) </w:t>
            </w:r>
          </w:p>
        </w:tc>
        <w:tc>
          <w:tcPr>
            <w:tcW w:w="662" w:type="dxa"/>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trHeight w:val="1217"/>
        </w:trPr>
        <w:tc>
          <w:tcPr>
            <w:tcW w:w="8062" w:type="dxa"/>
            <w:vAlign w:val="center"/>
          </w:tcPr>
          <w:p w:rsidR="00F9241C" w:rsidRDefault="006E4B77">
            <w:pPr>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 per ogni partecipazione agli esami di stato conclusivi dei corsi di studio di istruzione  secondaria superiore di cui alla legge 10/12/97 n. 425 e al D.P.R. 23.7.1998 n.323, fino  all' anno scolastico 2000/2001, in qualità di presidente di commissione o</w:t>
            </w:r>
            <w:r>
              <w:rPr>
                <w:rFonts w:ascii="Times New Roman" w:eastAsia="Times New Roman" w:hAnsi="Times New Roman" w:cs="Times New Roman"/>
                <w:color w:val="000000"/>
                <w:sz w:val="18"/>
                <w:szCs w:val="18"/>
              </w:rPr>
              <w:t xml:space="preserve"> di componente  esterno o di componente interno, compresa l'attività svolta dal docente di sostegno all'alunno  disabile che sostiene l'esame.            (Punti </w:t>
            </w:r>
            <w:r>
              <w:rPr>
                <w:rFonts w:ascii="Arial" w:eastAsia="Arial" w:hAnsi="Arial" w:cs="Arial"/>
                <w:color w:val="000000"/>
                <w:sz w:val="18"/>
                <w:szCs w:val="18"/>
              </w:rPr>
              <w:t xml:space="preserve">1) </w:t>
            </w:r>
          </w:p>
        </w:tc>
        <w:tc>
          <w:tcPr>
            <w:tcW w:w="662" w:type="dxa"/>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trHeight w:val="454"/>
        </w:trPr>
        <w:tc>
          <w:tcPr>
            <w:tcW w:w="8062" w:type="dxa"/>
            <w:vAlign w:val="center"/>
          </w:tcPr>
          <w:p w:rsidR="00F9241C" w:rsidRDefault="006E4B77">
            <w:pPr>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I) CLIL di Corso di Perfezionamento per l’insegnamento di una disciplina non linguistica di lingua straniera di cui al Decreto Direttoriale n. 6 del 16 aprile 2012 rilasciato da strutture universitarie in possesso dei requisiti di cui all’art.3, comma 3 de</w:t>
            </w:r>
            <w:r>
              <w:rPr>
                <w:rFonts w:ascii="Times New Roman" w:eastAsia="Times New Roman" w:hAnsi="Times New Roman" w:cs="Times New Roman"/>
                <w:color w:val="000000"/>
                <w:sz w:val="18"/>
                <w:szCs w:val="18"/>
              </w:rPr>
              <w:t>l D.M. del 30 settembre 2011.                                                    (Punti 1)</w:t>
            </w:r>
          </w:p>
          <w:p w:rsidR="00F9241C" w:rsidRDefault="006E4B77">
            <w:pPr>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N.B. il certificato viene rilasciato solo da chi:</w:t>
            </w:r>
          </w:p>
          <w:p w:rsidR="00F9241C" w:rsidRDefault="006E4B77">
            <w:pPr>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è in possesso di certificato di livello C1 del QCER (art.4 comma 2)</w:t>
            </w:r>
          </w:p>
          <w:p w:rsidR="00F9241C" w:rsidRDefault="006E4B77">
            <w:pPr>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ha frequentato il corso metodologico</w:t>
            </w:r>
          </w:p>
          <w:p w:rsidR="00F9241C" w:rsidRDefault="006E4B77">
            <w:pPr>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sost</w:t>
            </w:r>
            <w:r>
              <w:rPr>
                <w:rFonts w:ascii="Times New Roman" w:eastAsia="Times New Roman" w:hAnsi="Times New Roman" w:cs="Times New Roman"/>
                <w:color w:val="000000"/>
                <w:sz w:val="18"/>
                <w:szCs w:val="18"/>
              </w:rPr>
              <w:t xml:space="preserve">enuto la prova finale                                                      </w:t>
            </w:r>
          </w:p>
        </w:tc>
        <w:tc>
          <w:tcPr>
            <w:tcW w:w="662" w:type="dxa"/>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trHeight w:val="283"/>
        </w:trPr>
        <w:tc>
          <w:tcPr>
            <w:tcW w:w="8062" w:type="dxa"/>
            <w:vAlign w:val="center"/>
          </w:tcPr>
          <w:p w:rsidR="00F9241C" w:rsidRDefault="006E4B77">
            <w:pPr>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  CLIL per i docenti NON in possesso di Certificato di livello C1, ma che avendo svolto la parte metodologica presso le strutture universitarie, sono in possesso di un ATTESTATO di frequenza al corso di perfezionamento.                                   </w:t>
            </w:r>
            <w:r>
              <w:rPr>
                <w:rFonts w:ascii="Times New Roman" w:eastAsia="Times New Roman" w:hAnsi="Times New Roman" w:cs="Times New Roman"/>
                <w:color w:val="000000"/>
                <w:sz w:val="18"/>
                <w:szCs w:val="18"/>
              </w:rPr>
              <w:t xml:space="preserve">                                                                                 (Punti 0,5)</w:t>
            </w:r>
          </w:p>
        </w:tc>
        <w:tc>
          <w:tcPr>
            <w:tcW w:w="662" w:type="dxa"/>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trHeight w:val="465"/>
        </w:trPr>
        <w:tc>
          <w:tcPr>
            <w:tcW w:w="8062" w:type="dxa"/>
            <w:vAlign w:val="center"/>
          </w:tcPr>
          <w:p w:rsidR="00F9241C" w:rsidRDefault="006E4B77">
            <w:pPr>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N.B. i titoli relativi a C), D), E), F), G), H), anche cumulabili tra di loro, sono valutati fino ad  un massimo di Punti </w:t>
            </w:r>
            <w:r>
              <w:rPr>
                <w:rFonts w:ascii="Times New Roman" w:eastAsia="Times New Roman" w:hAnsi="Times New Roman" w:cs="Times New Roman"/>
                <w:color w:val="000000"/>
                <w:sz w:val="19"/>
                <w:szCs w:val="19"/>
              </w:rPr>
              <w:t xml:space="preserve">10 </w:t>
            </w:r>
          </w:p>
        </w:tc>
        <w:tc>
          <w:tcPr>
            <w:tcW w:w="662" w:type="dxa"/>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9241C">
        <w:trPr>
          <w:trHeight w:val="567"/>
        </w:trPr>
        <w:tc>
          <w:tcPr>
            <w:tcW w:w="8062" w:type="dxa"/>
            <w:vAlign w:val="center"/>
          </w:tcPr>
          <w:p w:rsidR="00F9241C" w:rsidRDefault="006E4B77">
            <w:pPr>
              <w:widowControl w:val="0"/>
              <w:pBdr>
                <w:top w:val="nil"/>
                <w:left w:val="nil"/>
                <w:bottom w:val="nil"/>
                <w:right w:val="nil"/>
                <w:between w:val="nil"/>
              </w:pBdr>
              <w:ind w:left="153"/>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TOTALE PUNTI </w:t>
            </w:r>
          </w:p>
        </w:tc>
        <w:tc>
          <w:tcPr>
            <w:tcW w:w="1586" w:type="dxa"/>
            <w:gridSpan w:val="2"/>
            <w:vAlign w:val="center"/>
          </w:tcPr>
          <w:p w:rsidR="00F9241C" w:rsidRDefault="00F9241C">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bl>
    <w:p w:rsidR="00F9241C" w:rsidRDefault="00F9241C">
      <w:pPr>
        <w:widowControl w:val="0"/>
        <w:pBdr>
          <w:top w:val="nil"/>
          <w:left w:val="nil"/>
          <w:bottom w:val="nil"/>
          <w:right w:val="nil"/>
          <w:between w:val="nil"/>
        </w:pBdr>
        <w:rPr>
          <w:rFonts w:ascii="Times New Roman" w:eastAsia="Times New Roman" w:hAnsi="Times New Roman" w:cs="Times New Roman"/>
          <w:color w:val="000000"/>
          <w:sz w:val="16"/>
          <w:szCs w:val="16"/>
        </w:rPr>
      </w:pPr>
    </w:p>
    <w:p w:rsidR="00F9241C" w:rsidRDefault="006E4B77">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Data</w:t>
      </w:r>
      <w:r>
        <w:rPr>
          <w:rFonts w:ascii="Times New Roman" w:eastAsia="Times New Roman" w:hAnsi="Times New Roman" w:cs="Times New Roman"/>
          <w:color w:val="000000"/>
        </w:rPr>
        <w:tab/>
      </w:r>
      <w:r>
        <w:rPr>
          <w:rFonts w:ascii="Times New Roman" w:eastAsia="Times New Roman" w:hAnsi="Times New Roman" w:cs="Times New Roman"/>
          <w:color w:val="000000"/>
        </w:rPr>
        <w:t xml:space="preserve">__________________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p>
    <w:p w:rsidR="00F9241C" w:rsidRDefault="00F9241C">
      <w:pPr>
        <w:widowControl w:val="0"/>
        <w:pBdr>
          <w:top w:val="nil"/>
          <w:left w:val="nil"/>
          <w:bottom w:val="nil"/>
          <w:right w:val="nil"/>
          <w:between w:val="nil"/>
        </w:pBdr>
        <w:rPr>
          <w:rFonts w:ascii="Times New Roman" w:eastAsia="Times New Roman" w:hAnsi="Times New Roman" w:cs="Times New Roman"/>
          <w:color w:val="000000"/>
        </w:rPr>
      </w:pPr>
    </w:p>
    <w:p w:rsidR="00F9241C" w:rsidRDefault="00F9241C">
      <w:pPr>
        <w:widowControl w:val="0"/>
        <w:pBdr>
          <w:top w:val="nil"/>
          <w:left w:val="nil"/>
          <w:bottom w:val="nil"/>
          <w:right w:val="nil"/>
          <w:between w:val="nil"/>
        </w:pBdr>
        <w:rPr>
          <w:rFonts w:ascii="Times New Roman" w:eastAsia="Times New Roman" w:hAnsi="Times New Roman" w:cs="Times New Roman"/>
          <w:color w:val="000000"/>
        </w:rPr>
      </w:pPr>
    </w:p>
    <w:p w:rsidR="00F9241C" w:rsidRDefault="006E4B77">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FIRMA</w:t>
      </w:r>
    </w:p>
    <w:p w:rsidR="00F9241C" w:rsidRDefault="00F9241C">
      <w:pPr>
        <w:widowControl w:val="0"/>
        <w:pBdr>
          <w:top w:val="nil"/>
          <w:left w:val="nil"/>
          <w:bottom w:val="nil"/>
          <w:right w:val="nil"/>
          <w:between w:val="nil"/>
        </w:pBdr>
        <w:rPr>
          <w:rFonts w:ascii="Times New Roman" w:eastAsia="Times New Roman" w:hAnsi="Times New Roman" w:cs="Times New Roman"/>
          <w:color w:val="000000"/>
        </w:rPr>
      </w:pPr>
    </w:p>
    <w:p w:rsidR="00F9241C" w:rsidRDefault="006E4B77">
      <w:pPr>
        <w:widowControl w:val="0"/>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_________________________</w:t>
      </w:r>
    </w:p>
    <w:p w:rsidR="00F9241C" w:rsidRDefault="00F9241C">
      <w:pPr>
        <w:pBdr>
          <w:top w:val="nil"/>
          <w:left w:val="nil"/>
          <w:bottom w:val="nil"/>
          <w:right w:val="nil"/>
          <w:between w:val="nil"/>
        </w:pBdr>
        <w:spacing w:after="160" w:line="259" w:lineRule="auto"/>
        <w:jc w:val="both"/>
        <w:rPr>
          <w:color w:val="000000"/>
          <w:sz w:val="18"/>
          <w:szCs w:val="18"/>
        </w:rPr>
      </w:pPr>
    </w:p>
    <w:p w:rsidR="00F9241C" w:rsidRDefault="00F9241C">
      <w:pPr>
        <w:pBdr>
          <w:top w:val="nil"/>
          <w:left w:val="nil"/>
          <w:bottom w:val="nil"/>
          <w:right w:val="nil"/>
          <w:between w:val="nil"/>
        </w:pBdr>
        <w:spacing w:after="160" w:line="259" w:lineRule="auto"/>
        <w:jc w:val="both"/>
        <w:rPr>
          <w:color w:val="000000"/>
          <w:sz w:val="18"/>
          <w:szCs w:val="18"/>
        </w:rPr>
      </w:pPr>
    </w:p>
    <w:p w:rsidR="00F9241C" w:rsidRDefault="00F9241C">
      <w:pPr>
        <w:pBdr>
          <w:top w:val="nil"/>
          <w:left w:val="nil"/>
          <w:bottom w:val="nil"/>
          <w:right w:val="nil"/>
          <w:between w:val="nil"/>
        </w:pBdr>
        <w:spacing w:after="160" w:line="259" w:lineRule="auto"/>
        <w:jc w:val="both"/>
        <w:rPr>
          <w:color w:val="000000"/>
          <w:sz w:val="18"/>
          <w:szCs w:val="18"/>
        </w:rPr>
      </w:pPr>
    </w:p>
    <w:p w:rsidR="00F9241C" w:rsidRDefault="00F9241C">
      <w:pPr>
        <w:pBdr>
          <w:top w:val="nil"/>
          <w:left w:val="nil"/>
          <w:bottom w:val="nil"/>
          <w:right w:val="nil"/>
          <w:between w:val="nil"/>
        </w:pBdr>
        <w:spacing w:after="160" w:line="259" w:lineRule="auto"/>
        <w:jc w:val="both"/>
        <w:rPr>
          <w:color w:val="000000"/>
          <w:sz w:val="18"/>
          <w:szCs w:val="18"/>
        </w:rPr>
      </w:pPr>
    </w:p>
    <w:p w:rsidR="00F9241C" w:rsidRDefault="00F9241C">
      <w:pPr>
        <w:pBdr>
          <w:top w:val="nil"/>
          <w:left w:val="nil"/>
          <w:bottom w:val="nil"/>
          <w:right w:val="nil"/>
          <w:between w:val="nil"/>
        </w:pBdr>
        <w:spacing w:after="160" w:line="259" w:lineRule="auto"/>
        <w:jc w:val="both"/>
        <w:rPr>
          <w:color w:val="000000"/>
          <w:sz w:val="18"/>
          <w:szCs w:val="18"/>
        </w:rPr>
      </w:pPr>
    </w:p>
    <w:p w:rsidR="00F9241C" w:rsidRDefault="00F9241C">
      <w:pPr>
        <w:pBdr>
          <w:top w:val="nil"/>
          <w:left w:val="nil"/>
          <w:bottom w:val="nil"/>
          <w:right w:val="nil"/>
          <w:between w:val="nil"/>
        </w:pBdr>
        <w:spacing w:after="160" w:line="259" w:lineRule="auto"/>
        <w:jc w:val="both"/>
        <w:rPr>
          <w:color w:val="000000"/>
          <w:sz w:val="18"/>
          <w:szCs w:val="18"/>
        </w:rPr>
      </w:pPr>
    </w:p>
    <w:p w:rsidR="00F9241C" w:rsidRDefault="00F9241C">
      <w:pPr>
        <w:pBdr>
          <w:top w:val="nil"/>
          <w:left w:val="nil"/>
          <w:bottom w:val="nil"/>
          <w:right w:val="nil"/>
          <w:between w:val="nil"/>
        </w:pBdr>
        <w:spacing w:after="160" w:line="259" w:lineRule="auto"/>
        <w:jc w:val="both"/>
        <w:rPr>
          <w:color w:val="000000"/>
          <w:sz w:val="18"/>
          <w:szCs w:val="18"/>
        </w:rPr>
      </w:pPr>
    </w:p>
    <w:p w:rsidR="00F9241C" w:rsidRDefault="00F9241C">
      <w:pPr>
        <w:pBdr>
          <w:top w:val="nil"/>
          <w:left w:val="nil"/>
          <w:bottom w:val="nil"/>
          <w:right w:val="nil"/>
          <w:between w:val="nil"/>
        </w:pBdr>
        <w:spacing w:after="160" w:line="259" w:lineRule="auto"/>
        <w:jc w:val="both"/>
        <w:rPr>
          <w:color w:val="000000"/>
          <w:sz w:val="18"/>
          <w:szCs w:val="18"/>
        </w:rPr>
      </w:pPr>
    </w:p>
    <w:p w:rsidR="00F9241C" w:rsidRDefault="00F9241C">
      <w:pPr>
        <w:pBdr>
          <w:top w:val="nil"/>
          <w:left w:val="nil"/>
          <w:bottom w:val="nil"/>
          <w:right w:val="nil"/>
          <w:between w:val="nil"/>
        </w:pBdr>
        <w:spacing w:after="160" w:line="259" w:lineRule="auto"/>
        <w:jc w:val="both"/>
        <w:rPr>
          <w:color w:val="000000"/>
          <w:sz w:val="18"/>
          <w:szCs w:val="18"/>
        </w:rPr>
      </w:pPr>
    </w:p>
    <w:p w:rsidR="00F9241C" w:rsidRDefault="00F9241C">
      <w:pPr>
        <w:pBdr>
          <w:top w:val="nil"/>
          <w:left w:val="nil"/>
          <w:bottom w:val="nil"/>
          <w:right w:val="nil"/>
          <w:between w:val="nil"/>
        </w:pBdr>
        <w:spacing w:after="160" w:line="259" w:lineRule="auto"/>
        <w:jc w:val="both"/>
        <w:rPr>
          <w:color w:val="000000"/>
          <w:sz w:val="18"/>
          <w:szCs w:val="18"/>
        </w:rPr>
      </w:pPr>
    </w:p>
    <w:p w:rsidR="00F9241C" w:rsidRDefault="00F9241C">
      <w:pPr>
        <w:pBdr>
          <w:top w:val="nil"/>
          <w:left w:val="nil"/>
          <w:bottom w:val="nil"/>
          <w:right w:val="nil"/>
          <w:between w:val="nil"/>
        </w:pBdr>
        <w:spacing w:after="160" w:line="259" w:lineRule="auto"/>
        <w:jc w:val="both"/>
        <w:rPr>
          <w:color w:val="000000"/>
          <w:sz w:val="18"/>
          <w:szCs w:val="18"/>
        </w:rPr>
      </w:pPr>
    </w:p>
    <w:p w:rsidR="00F9241C" w:rsidRDefault="00F9241C">
      <w:pPr>
        <w:pBdr>
          <w:top w:val="nil"/>
          <w:left w:val="nil"/>
          <w:bottom w:val="nil"/>
          <w:right w:val="nil"/>
          <w:between w:val="nil"/>
        </w:pBdr>
        <w:spacing w:after="160" w:line="259" w:lineRule="auto"/>
        <w:jc w:val="both"/>
        <w:rPr>
          <w:color w:val="000000"/>
          <w:sz w:val="18"/>
          <w:szCs w:val="18"/>
        </w:rPr>
      </w:pPr>
    </w:p>
    <w:p w:rsidR="00F9241C" w:rsidRDefault="00F9241C">
      <w:pPr>
        <w:pBdr>
          <w:top w:val="nil"/>
          <w:left w:val="nil"/>
          <w:bottom w:val="nil"/>
          <w:right w:val="nil"/>
          <w:between w:val="nil"/>
        </w:pBdr>
        <w:spacing w:after="160" w:line="259" w:lineRule="auto"/>
        <w:jc w:val="both"/>
        <w:rPr>
          <w:color w:val="000000"/>
          <w:sz w:val="18"/>
          <w:szCs w:val="18"/>
        </w:rPr>
      </w:pPr>
    </w:p>
    <w:p w:rsidR="00F9241C" w:rsidRDefault="00F9241C">
      <w:pPr>
        <w:pBdr>
          <w:top w:val="nil"/>
          <w:left w:val="nil"/>
          <w:bottom w:val="nil"/>
          <w:right w:val="nil"/>
          <w:between w:val="nil"/>
        </w:pBdr>
        <w:spacing w:after="160" w:line="259" w:lineRule="auto"/>
        <w:jc w:val="both"/>
        <w:rPr>
          <w:color w:val="000000"/>
          <w:sz w:val="18"/>
          <w:szCs w:val="18"/>
        </w:rPr>
      </w:pPr>
    </w:p>
    <w:p w:rsidR="00F9241C" w:rsidRDefault="00F9241C">
      <w:pPr>
        <w:pBdr>
          <w:top w:val="nil"/>
          <w:left w:val="nil"/>
          <w:bottom w:val="nil"/>
          <w:right w:val="nil"/>
          <w:between w:val="nil"/>
        </w:pBdr>
        <w:spacing w:after="160" w:line="259" w:lineRule="auto"/>
        <w:jc w:val="both"/>
        <w:rPr>
          <w:color w:val="000000"/>
          <w:sz w:val="18"/>
          <w:szCs w:val="18"/>
        </w:rPr>
      </w:pPr>
    </w:p>
    <w:p w:rsidR="00F9241C" w:rsidRDefault="00F9241C">
      <w:pPr>
        <w:pBdr>
          <w:top w:val="nil"/>
          <w:left w:val="nil"/>
          <w:bottom w:val="nil"/>
          <w:right w:val="nil"/>
          <w:between w:val="nil"/>
        </w:pBdr>
        <w:spacing w:after="160" w:line="259" w:lineRule="auto"/>
        <w:jc w:val="both"/>
        <w:rPr>
          <w:color w:val="000000"/>
          <w:sz w:val="18"/>
          <w:szCs w:val="18"/>
        </w:rPr>
      </w:pPr>
    </w:p>
    <w:p w:rsidR="00F9241C" w:rsidRDefault="00F9241C">
      <w:pPr>
        <w:pBdr>
          <w:top w:val="nil"/>
          <w:left w:val="nil"/>
          <w:bottom w:val="nil"/>
          <w:right w:val="nil"/>
          <w:between w:val="nil"/>
        </w:pBdr>
        <w:spacing w:after="160" w:line="259" w:lineRule="auto"/>
        <w:jc w:val="both"/>
        <w:rPr>
          <w:color w:val="000000"/>
          <w:sz w:val="18"/>
          <w:szCs w:val="18"/>
        </w:rPr>
      </w:pPr>
    </w:p>
    <w:p w:rsidR="00F9241C" w:rsidRDefault="00F9241C">
      <w:pPr>
        <w:pBdr>
          <w:top w:val="nil"/>
          <w:left w:val="nil"/>
          <w:bottom w:val="nil"/>
          <w:right w:val="nil"/>
          <w:between w:val="nil"/>
        </w:pBdr>
        <w:spacing w:after="160" w:line="259" w:lineRule="auto"/>
        <w:jc w:val="both"/>
        <w:rPr>
          <w:color w:val="000000"/>
          <w:sz w:val="18"/>
          <w:szCs w:val="18"/>
        </w:rPr>
      </w:pPr>
    </w:p>
    <w:p w:rsidR="00F9241C" w:rsidRDefault="00F9241C">
      <w:pPr>
        <w:pBdr>
          <w:top w:val="nil"/>
          <w:left w:val="nil"/>
          <w:bottom w:val="nil"/>
          <w:right w:val="nil"/>
          <w:between w:val="nil"/>
        </w:pBdr>
        <w:spacing w:after="160" w:line="259" w:lineRule="auto"/>
        <w:jc w:val="both"/>
        <w:rPr>
          <w:color w:val="000000"/>
          <w:sz w:val="18"/>
          <w:szCs w:val="18"/>
        </w:rPr>
      </w:pPr>
    </w:p>
    <w:p w:rsidR="00F9241C" w:rsidRDefault="00F9241C">
      <w:pPr>
        <w:pBdr>
          <w:top w:val="nil"/>
          <w:left w:val="nil"/>
          <w:bottom w:val="nil"/>
          <w:right w:val="nil"/>
          <w:between w:val="nil"/>
        </w:pBdr>
        <w:spacing w:after="160" w:line="259" w:lineRule="auto"/>
        <w:jc w:val="both"/>
        <w:rPr>
          <w:color w:val="000000"/>
          <w:sz w:val="18"/>
          <w:szCs w:val="18"/>
        </w:rPr>
      </w:pPr>
    </w:p>
    <w:p w:rsidR="00F9241C" w:rsidRDefault="00F9241C">
      <w:pPr>
        <w:pBdr>
          <w:top w:val="nil"/>
          <w:left w:val="nil"/>
          <w:bottom w:val="nil"/>
          <w:right w:val="nil"/>
          <w:between w:val="nil"/>
        </w:pBdr>
        <w:spacing w:after="160" w:line="259" w:lineRule="auto"/>
        <w:jc w:val="both"/>
        <w:rPr>
          <w:color w:val="000000"/>
          <w:sz w:val="18"/>
          <w:szCs w:val="18"/>
        </w:rPr>
      </w:pPr>
    </w:p>
    <w:p w:rsidR="006E4B77" w:rsidRDefault="006E4B77">
      <w:pPr>
        <w:pBdr>
          <w:top w:val="nil"/>
          <w:left w:val="nil"/>
          <w:bottom w:val="nil"/>
          <w:right w:val="nil"/>
          <w:between w:val="nil"/>
        </w:pBdr>
        <w:spacing w:after="160" w:line="259" w:lineRule="auto"/>
        <w:jc w:val="both"/>
        <w:rPr>
          <w:color w:val="000000"/>
          <w:sz w:val="18"/>
          <w:szCs w:val="18"/>
        </w:rPr>
      </w:pPr>
    </w:p>
    <w:p w:rsidR="006E4B77" w:rsidRDefault="006E4B77">
      <w:pPr>
        <w:pBdr>
          <w:top w:val="nil"/>
          <w:left w:val="nil"/>
          <w:bottom w:val="nil"/>
          <w:right w:val="nil"/>
          <w:between w:val="nil"/>
        </w:pBdr>
        <w:spacing w:after="160" w:line="259" w:lineRule="auto"/>
        <w:jc w:val="both"/>
        <w:rPr>
          <w:color w:val="000000"/>
          <w:sz w:val="18"/>
          <w:szCs w:val="18"/>
        </w:rPr>
      </w:pPr>
    </w:p>
    <w:p w:rsidR="006E4B77" w:rsidRDefault="006E4B77">
      <w:pPr>
        <w:pBdr>
          <w:top w:val="nil"/>
          <w:left w:val="nil"/>
          <w:bottom w:val="nil"/>
          <w:right w:val="nil"/>
          <w:between w:val="nil"/>
        </w:pBdr>
        <w:spacing w:after="160" w:line="259" w:lineRule="auto"/>
        <w:jc w:val="both"/>
        <w:rPr>
          <w:color w:val="000000"/>
          <w:sz w:val="18"/>
          <w:szCs w:val="18"/>
        </w:rPr>
      </w:pPr>
      <w:bookmarkStart w:id="0" w:name="_GoBack"/>
      <w:bookmarkEnd w:id="0"/>
    </w:p>
    <w:p w:rsidR="00F9241C" w:rsidRDefault="006E4B77">
      <w:pPr>
        <w:pBdr>
          <w:top w:val="nil"/>
          <w:left w:val="nil"/>
          <w:bottom w:val="nil"/>
          <w:right w:val="nil"/>
          <w:between w:val="nil"/>
        </w:pBdr>
        <w:spacing w:after="160" w:line="259" w:lineRule="auto"/>
        <w:jc w:val="both"/>
        <w:rPr>
          <w:color w:val="000000"/>
          <w:sz w:val="18"/>
          <w:szCs w:val="18"/>
        </w:rPr>
      </w:pPr>
      <w:bookmarkStart w:id="1" w:name="_heading=h.gjdgxs" w:colFirst="0" w:colLast="0"/>
      <w:bookmarkEnd w:id="1"/>
      <w:r>
        <w:rPr>
          <w:smallCaps/>
          <w:color w:val="000000"/>
          <w:sz w:val="18"/>
          <w:szCs w:val="18"/>
        </w:rPr>
        <w:lastRenderedPageBreak/>
        <w:t xml:space="preserve">Note comuni alle tabelle dei trasferimenti a domanda e d’ufficio e dei passaggi dei docenti delle scuole dell’infanzia, primaria, secondaria di I grado e degli istituti di istruzione secondaria di II grado ed artistica e del personale </w:t>
      </w:r>
      <w:r>
        <w:rPr>
          <w:smallCaps/>
          <w:color w:val="000000"/>
          <w:sz w:val="18"/>
          <w:szCs w:val="18"/>
        </w:rPr>
        <w:t>educativo</w:t>
      </w:r>
    </w:p>
    <w:p w:rsidR="00F9241C" w:rsidRDefault="00F9241C">
      <w:pPr>
        <w:pBdr>
          <w:top w:val="nil"/>
          <w:left w:val="nil"/>
          <w:bottom w:val="nil"/>
          <w:right w:val="nil"/>
          <w:between w:val="nil"/>
        </w:pBdr>
        <w:ind w:firstLine="284"/>
        <w:jc w:val="both"/>
        <w:rPr>
          <w:rFonts w:ascii="Times New Roman" w:eastAsia="Times New Roman" w:hAnsi="Times New Roman" w:cs="Times New Roman"/>
          <w:color w:val="000000"/>
          <w:sz w:val="18"/>
          <w:szCs w:val="18"/>
        </w:rPr>
      </w:pPr>
    </w:p>
    <w:p w:rsidR="00F9241C" w:rsidRDefault="006E4B77">
      <w:pPr>
        <w:pBdr>
          <w:top w:val="nil"/>
          <w:left w:val="nil"/>
          <w:bottom w:val="nil"/>
          <w:right w:val="nil"/>
          <w:between w:val="nil"/>
        </w:pBdr>
        <w:ind w:hanging="567"/>
        <w:jc w:val="both"/>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t>Premessa</w:t>
      </w:r>
    </w:p>
    <w:p w:rsidR="00F9241C" w:rsidRDefault="006E4B77">
      <w:pPr>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Ai fini dell’attribuzione del punteggio per le domande di trasferimento, per le domande di passaggio di ruolo e per l’individuazione del perdente posto si precisa quanto segue:</w:t>
      </w:r>
    </w:p>
    <w:p w:rsidR="00F9241C" w:rsidRDefault="006E4B77">
      <w:pPr>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nell’anzianità di servizio non si tiene conto dell’anno scolastico in corso;</w:t>
      </w:r>
    </w:p>
    <w:p w:rsidR="00F9241C" w:rsidRDefault="006E4B77">
      <w:pPr>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nella valutazione dei titoli vengono considerati quelli posseduti entro il termine previsto per la presentazione delle domande dall’annuale O.M.;</w:t>
      </w:r>
    </w:p>
    <w:p w:rsidR="00F9241C" w:rsidRDefault="006E4B77">
      <w:pPr>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nella valutazione delle esi</w:t>
      </w:r>
      <w:r>
        <w:rPr>
          <w:rFonts w:ascii="Times New Roman" w:eastAsia="Times New Roman" w:hAnsi="Times New Roman" w:cs="Times New Roman"/>
          <w:color w:val="000000"/>
          <w:sz w:val="18"/>
          <w:szCs w:val="18"/>
        </w:rPr>
        <w:t xml:space="preserve">genze di famiglia (per il trasferimento a domanda e d’ufficio) è necessario che queste sussistano alla data della presentazione della domanda. Soltanto nel caso dei figli si considerano quelli che compiono i sei anni o i diciotto anni entro il 31 dicembre </w:t>
      </w:r>
      <w:r>
        <w:rPr>
          <w:rFonts w:ascii="Times New Roman" w:eastAsia="Times New Roman" w:hAnsi="Times New Roman" w:cs="Times New Roman"/>
          <w:color w:val="000000"/>
          <w:sz w:val="18"/>
          <w:szCs w:val="18"/>
        </w:rPr>
        <w:t>dell’anno in cui si effettua il trasferimento.</w:t>
      </w:r>
    </w:p>
    <w:p w:rsidR="00F9241C" w:rsidRDefault="006E4B77">
      <w:pPr>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L’anzianità di servizio di cui alle lettere A) e B) del punto I della tabella deve essere attestata dall’interessato, con apposita dichiarazione personale Non interrompe la maturazione del punteggio del serviz</w:t>
      </w:r>
      <w:r>
        <w:rPr>
          <w:rFonts w:ascii="Times New Roman" w:eastAsia="Times New Roman" w:hAnsi="Times New Roman" w:cs="Times New Roman"/>
          <w:color w:val="000000"/>
          <w:sz w:val="18"/>
          <w:szCs w:val="18"/>
        </w:rPr>
        <w:t xml:space="preserve">io la fruizione del congedo biennale per l’assistenza a familiari con grave disabilità di cui agli artt. 32, 33 e 34 comma 5 del </w:t>
      </w:r>
      <w:proofErr w:type="spellStart"/>
      <w:r>
        <w:rPr>
          <w:rFonts w:ascii="Times New Roman" w:eastAsia="Times New Roman" w:hAnsi="Times New Roman" w:cs="Times New Roman"/>
          <w:color w:val="000000"/>
          <w:sz w:val="18"/>
          <w:szCs w:val="18"/>
        </w:rPr>
        <w:t>D.L.vo</w:t>
      </w:r>
      <w:proofErr w:type="spellEnd"/>
      <w:r>
        <w:rPr>
          <w:rFonts w:ascii="Times New Roman" w:eastAsia="Times New Roman" w:hAnsi="Times New Roman" w:cs="Times New Roman"/>
          <w:color w:val="000000"/>
          <w:sz w:val="18"/>
          <w:szCs w:val="18"/>
        </w:rPr>
        <w:t xml:space="preserve"> n. 151/2001. L’anzianità di servizio di cui alla lettera A) comprende gli anni di servizio, comunque prestati successiva</w:t>
      </w:r>
      <w:r>
        <w:rPr>
          <w:rFonts w:ascii="Times New Roman" w:eastAsia="Times New Roman" w:hAnsi="Times New Roman" w:cs="Times New Roman"/>
          <w:color w:val="000000"/>
          <w:sz w:val="18"/>
          <w:szCs w:val="18"/>
        </w:rPr>
        <w:t>mente alla decorrenza giuridica della nomina, nel ruolo di appartenenza. Per ogni anno di servizio prestato nei paesi in via di sviluppo il punteggio è raddoppiato. Per gli istituti e scuole di istruzione secondaria ed artistica la lettera A) comprende anc</w:t>
      </w:r>
      <w:r>
        <w:rPr>
          <w:rFonts w:ascii="Times New Roman" w:eastAsia="Times New Roman" w:hAnsi="Times New Roman" w:cs="Times New Roman"/>
          <w:color w:val="000000"/>
          <w:sz w:val="18"/>
          <w:szCs w:val="18"/>
        </w:rPr>
        <w:t>he i servizi effettivamente prestati in classe di concorso diversa da quella di attuale titolarità e per la quale sia possibile il passaggio di cattedra. L’anzianità derivante da decorrenza giuridica della nomina nel ruolo di appartenenza anteriore alla de</w:t>
      </w:r>
      <w:r>
        <w:rPr>
          <w:rFonts w:ascii="Times New Roman" w:eastAsia="Times New Roman" w:hAnsi="Times New Roman" w:cs="Times New Roman"/>
          <w:color w:val="000000"/>
          <w:sz w:val="18"/>
          <w:szCs w:val="18"/>
        </w:rPr>
        <w:t>correnza economica rientra invece in quella prevista dalla lettera B), qualora non sia stato prestato alcun servizio o se il servizio non sia stato prestato nel ruolo di appartenenza. Va invece considerato servizio di ruolo a tutti gli effetti quello deriv</w:t>
      </w:r>
      <w:r>
        <w:rPr>
          <w:rFonts w:ascii="Times New Roman" w:eastAsia="Times New Roman" w:hAnsi="Times New Roman" w:cs="Times New Roman"/>
          <w:color w:val="000000"/>
          <w:sz w:val="18"/>
          <w:szCs w:val="18"/>
        </w:rPr>
        <w:t xml:space="preserve">ante dalla </w:t>
      </w:r>
      <w:proofErr w:type="spellStart"/>
      <w:r>
        <w:rPr>
          <w:rFonts w:ascii="Times New Roman" w:eastAsia="Times New Roman" w:hAnsi="Times New Roman" w:cs="Times New Roman"/>
          <w:color w:val="000000"/>
          <w:sz w:val="18"/>
          <w:szCs w:val="18"/>
        </w:rPr>
        <w:t>restitutio</w:t>
      </w:r>
      <w:proofErr w:type="spellEnd"/>
      <w:r>
        <w:rPr>
          <w:rFonts w:ascii="Times New Roman" w:eastAsia="Times New Roman" w:hAnsi="Times New Roman" w:cs="Times New Roman"/>
          <w:color w:val="000000"/>
          <w:sz w:val="18"/>
          <w:szCs w:val="18"/>
        </w:rPr>
        <w:t xml:space="preserve"> in </w:t>
      </w:r>
      <w:proofErr w:type="spellStart"/>
      <w:r>
        <w:rPr>
          <w:rFonts w:ascii="Times New Roman" w:eastAsia="Times New Roman" w:hAnsi="Times New Roman" w:cs="Times New Roman"/>
          <w:color w:val="000000"/>
          <w:sz w:val="18"/>
          <w:szCs w:val="18"/>
        </w:rPr>
        <w:t>integrum</w:t>
      </w:r>
      <w:proofErr w:type="spellEnd"/>
      <w:r>
        <w:rPr>
          <w:rFonts w:ascii="Times New Roman" w:eastAsia="Times New Roman" w:hAnsi="Times New Roman" w:cs="Times New Roman"/>
          <w:color w:val="000000"/>
          <w:sz w:val="18"/>
          <w:szCs w:val="18"/>
        </w:rPr>
        <w:t xml:space="preserve"> operata a seguito di un giudicato. Sono compresi nella lettera A) gli anni di servizio prestati dai docenti di educazione fisica nel ruolo unico (scuola secondaria di I grado ed istituti di istruzione secondaria di II grad</w:t>
      </w:r>
      <w:r>
        <w:rPr>
          <w:rFonts w:ascii="Times New Roman" w:eastAsia="Times New Roman" w:hAnsi="Times New Roman" w:cs="Times New Roman"/>
          <w:color w:val="000000"/>
          <w:sz w:val="18"/>
          <w:szCs w:val="18"/>
        </w:rPr>
        <w:t>o) nonché nel ruolo ad esaurimento nel quale i docenti stessi furono inquadrati a norma della legge 30.3.1976, n. 88 art. 16. Il servizio prestato in ruoli diversi da quello di appartenenza, a seguito di utilizzazione o assegnazione provvisoria, è valutato</w:t>
      </w:r>
      <w:r>
        <w:rPr>
          <w:rFonts w:ascii="Times New Roman" w:eastAsia="Times New Roman" w:hAnsi="Times New Roman" w:cs="Times New Roman"/>
          <w:color w:val="000000"/>
          <w:sz w:val="18"/>
          <w:szCs w:val="18"/>
        </w:rPr>
        <w:t xml:space="preserve"> ai sensi della lettera A) con riferimento al ruolo di appartenenza.</w:t>
      </w:r>
    </w:p>
    <w:p w:rsidR="00F9241C" w:rsidRDefault="006E4B77">
      <w:pPr>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L’anzianità di cui alla lettera B) comprende gli anni di ruolo anteriori alla nomina nel ruolo di appartenenza non coperti da effettivo servizio ovvero prestati in ruolo diverso da quello</w:t>
      </w:r>
      <w:r>
        <w:rPr>
          <w:rFonts w:ascii="Times New Roman" w:eastAsia="Times New Roman" w:hAnsi="Times New Roman" w:cs="Times New Roman"/>
          <w:color w:val="000000"/>
          <w:sz w:val="18"/>
          <w:szCs w:val="18"/>
        </w:rPr>
        <w:t xml:space="preserve"> di appartenenza e valutati o riconosciuti (o riconoscibili) per intero ai fini giuridici ed economici nella carriera di attuale appartenenza. Tale anzianità comprende anche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-ruolo e di ruolo prestato nella scuola dell’infanzia da valutare n</w:t>
      </w:r>
      <w:r>
        <w:rPr>
          <w:rFonts w:ascii="Times New Roman" w:eastAsia="Times New Roman" w:hAnsi="Times New Roman" w:cs="Times New Roman"/>
          <w:color w:val="000000"/>
          <w:sz w:val="18"/>
          <w:szCs w:val="18"/>
        </w:rPr>
        <w:t>ella stessa misura dei servizi prestati nella scuola primaria; comprende, altresì, il servizio di ruolo e non di ruolo prestato nell’insegnamento della religione cattolica ed i servizi di insegnamento prestati nelle scuole statali di ogni ordine e grado, d</w:t>
      </w:r>
      <w:r>
        <w:rPr>
          <w:rFonts w:ascii="Times New Roman" w:eastAsia="Times New Roman" w:hAnsi="Times New Roman" w:cs="Times New Roman"/>
          <w:color w:val="000000"/>
          <w:sz w:val="18"/>
          <w:szCs w:val="18"/>
        </w:rPr>
        <w:t>ei Paesi appartenenti all’Unione Europea, che sono equiparati ai corrispondenti servizi prestati nelle scuole italiane, anche se prestati prima dell’ingresso dello Stato nell’Unione Europea (Legge n. 101 del 6 giugno 2008). Ai fini della valutazione tali s</w:t>
      </w:r>
      <w:r>
        <w:rPr>
          <w:rFonts w:ascii="Times New Roman" w:eastAsia="Times New Roman" w:hAnsi="Times New Roman" w:cs="Times New Roman"/>
          <w:color w:val="000000"/>
          <w:sz w:val="18"/>
          <w:szCs w:val="18"/>
        </w:rPr>
        <w:t>ervizi</w:t>
      </w:r>
      <w:r>
        <w:rPr>
          <w:rFonts w:ascii="Times New Roman" w:eastAsia="Times New Roman" w:hAnsi="Times New Roman" w:cs="Times New Roman"/>
          <w:strike/>
          <w:color w:val="000000"/>
          <w:sz w:val="18"/>
          <w:szCs w:val="18"/>
        </w:rPr>
        <w:t xml:space="preserve"> </w:t>
      </w:r>
      <w:r>
        <w:rPr>
          <w:rFonts w:ascii="Times New Roman" w:eastAsia="Times New Roman" w:hAnsi="Times New Roman" w:cs="Times New Roman"/>
          <w:color w:val="000000"/>
          <w:sz w:val="18"/>
          <w:szCs w:val="18"/>
        </w:rPr>
        <w:t>devono essere debitamente certificati dall’Autorità diplomatica italiana nello Stato estero</w:t>
      </w:r>
    </w:p>
    <w:p w:rsidR="00F9241C" w:rsidRDefault="006E4B77">
      <w:pPr>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L’anzianità di cui alla lettera B) comprende anche il servizio non di ruolo prestato per almeno 180 giorni o ininterrottamente dal 1 febbraio fino al termine</w:t>
      </w:r>
      <w:r>
        <w:rPr>
          <w:rFonts w:ascii="Times New Roman" w:eastAsia="Times New Roman" w:hAnsi="Times New Roman" w:cs="Times New Roman"/>
          <w:color w:val="000000"/>
          <w:sz w:val="18"/>
          <w:szCs w:val="18"/>
        </w:rPr>
        <w:t xml:space="preserve"> delle operazioni di scrutinio finale o, in quanto riconoscibile, per la scuola dell’infanzia, fino al termine delle attività educative, compreso quello militare o il sostitutivo servizio civile, nei limiti previsti dagli artt. 485, 487 e 490 del </w:t>
      </w:r>
      <w:proofErr w:type="spellStart"/>
      <w:r>
        <w:rPr>
          <w:rFonts w:ascii="Times New Roman" w:eastAsia="Times New Roman" w:hAnsi="Times New Roman" w:cs="Times New Roman"/>
          <w:color w:val="000000"/>
          <w:sz w:val="18"/>
          <w:szCs w:val="18"/>
        </w:rPr>
        <w:t>D.L.vo</w:t>
      </w:r>
      <w:proofErr w:type="spellEnd"/>
      <w:r>
        <w:rPr>
          <w:rFonts w:ascii="Times New Roman" w:eastAsia="Times New Roman" w:hAnsi="Times New Roman" w:cs="Times New Roman"/>
          <w:color w:val="000000"/>
          <w:sz w:val="18"/>
          <w:szCs w:val="18"/>
        </w:rPr>
        <w:t xml:space="preserve"> n.</w:t>
      </w:r>
      <w:r>
        <w:rPr>
          <w:rFonts w:ascii="Times New Roman" w:eastAsia="Times New Roman" w:hAnsi="Times New Roman" w:cs="Times New Roman"/>
          <w:color w:val="000000"/>
          <w:sz w:val="18"/>
          <w:szCs w:val="18"/>
        </w:rPr>
        <w:t xml:space="preserve"> 297/94 ai fini della valutabilità per la carriera ovvero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-ruolo prestato senza il prescritto titolo di specializzazione in scuole speciali o su posti di sostegno. Si rammenta che il servizio militare di leva, o il sostitutivo servizio civil</w:t>
      </w:r>
      <w:r>
        <w:rPr>
          <w:rFonts w:ascii="Times New Roman" w:eastAsia="Times New Roman" w:hAnsi="Times New Roman" w:cs="Times New Roman"/>
          <w:color w:val="000000"/>
          <w:sz w:val="18"/>
          <w:szCs w:val="18"/>
        </w:rPr>
        <w:t>e, può essere valutato solo se prestato in costanza di rapporto di impiego come docente a tempo determinato nella scuola statale. Il servizio prestato in qualità di incaricato ex art. 36 del CCNL 29/11/2007 è da valutare con lo stesso punteggio previsto pe</w:t>
      </w:r>
      <w:r>
        <w:rPr>
          <w:rFonts w:ascii="Times New Roman" w:eastAsia="Times New Roman" w:hAnsi="Times New Roman" w:cs="Times New Roman"/>
          <w:color w:val="000000"/>
          <w:sz w:val="18"/>
          <w:szCs w:val="18"/>
        </w:rPr>
        <w:t>r il servizio non di ruolo. Tale servizio, qualora abbia avuto una durata superiore a 180 gg interrompe la continuità.</w:t>
      </w:r>
    </w:p>
    <w:p w:rsidR="00F9241C" w:rsidRDefault="006E4B77">
      <w:pPr>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 valutazione del servizio di cui alle lettere A), A1) e B) è riconosciuta anche al personale proveniente dagli Enti Locali e che abbia </w:t>
      </w:r>
      <w:r>
        <w:rPr>
          <w:rFonts w:ascii="Times New Roman" w:eastAsia="Times New Roman" w:hAnsi="Times New Roman" w:cs="Times New Roman"/>
          <w:color w:val="000000"/>
          <w:sz w:val="18"/>
          <w:szCs w:val="18"/>
        </w:rPr>
        <w:t>svolto, prima del trasferimento allo Stato, effettivo servizio di docente nelle scuole statali. Per gli insegnanti di educazione fisica non è riconoscibile il servizio prestato senza il possesso del diploma rilasciato dall’I.S.E.F. o di titoli equipollenti</w:t>
      </w:r>
      <w:r>
        <w:rPr>
          <w:rFonts w:ascii="Times New Roman" w:eastAsia="Times New Roman" w:hAnsi="Times New Roman" w:cs="Times New Roman"/>
          <w:color w:val="000000"/>
          <w:sz w:val="18"/>
          <w:szCs w:val="18"/>
        </w:rPr>
        <w:t xml:space="preserve"> secondo l’ordinamento anteriore alla legge 7.2.1958, n. 88 (</w:t>
      </w:r>
      <w:proofErr w:type="spellStart"/>
      <w:r>
        <w:rPr>
          <w:rFonts w:ascii="Times New Roman" w:eastAsia="Times New Roman" w:hAnsi="Times New Roman" w:cs="Times New Roman"/>
          <w:color w:val="000000"/>
          <w:sz w:val="18"/>
          <w:szCs w:val="18"/>
        </w:rPr>
        <w:t>tab</w:t>
      </w:r>
      <w:proofErr w:type="spellEnd"/>
      <w:r>
        <w:rPr>
          <w:rFonts w:ascii="Times New Roman" w:eastAsia="Times New Roman" w:hAnsi="Times New Roman" w:cs="Times New Roman"/>
          <w:color w:val="000000"/>
          <w:sz w:val="18"/>
          <w:szCs w:val="18"/>
        </w:rPr>
        <w:t xml:space="preserve">. A, classe A029 e A 030 D.M. 30.1.1998 n. 39 e successive modifiche). </w:t>
      </w:r>
    </w:p>
    <w:p w:rsidR="00F9241C" w:rsidRDefault="006E4B77">
      <w:pPr>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 valutazione degli anni del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nella mobilità a domanda viene effettuata per intero (6 punti per ogni </w:t>
      </w:r>
      <w:r>
        <w:rPr>
          <w:rFonts w:ascii="Times New Roman" w:eastAsia="Times New Roman" w:hAnsi="Times New Roman" w:cs="Times New Roman"/>
          <w:color w:val="000000"/>
          <w:sz w:val="18"/>
          <w:szCs w:val="18"/>
        </w:rPr>
        <w:t>anno). Nella mobilità d’ufficio viene effettuata nella seguente maniera:- i primi 4 anni sono valutati 3 punti per ogni anno - il periodo eccedente i 4 anni è valutato per i 2/3 (due punti per ogni anno).</w:t>
      </w:r>
    </w:p>
    <w:p w:rsidR="00F9241C" w:rsidRDefault="006E4B77">
      <w:pPr>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Nel caso della mobilità d’ufficio, ad esempio, il d</w:t>
      </w:r>
      <w:r>
        <w:rPr>
          <w:rFonts w:ascii="Times New Roman" w:eastAsia="Times New Roman" w:hAnsi="Times New Roman" w:cs="Times New Roman"/>
          <w:color w:val="000000"/>
          <w:sz w:val="18"/>
          <w:szCs w:val="18"/>
        </w:rPr>
        <w:t xml:space="preserve">ocente che ha prestato 6 anni di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-ruolo, che viene riconosciuto o riconoscibile ai fini della progressione di carriera nella misura di 5 anni e 4 mesi, ha diritto, per tale servizio, all’attribuzione di punti 16 derivanti dal seguente calcolo:</w:t>
      </w:r>
    </w:p>
    <w:p w:rsidR="00F9241C" w:rsidRDefault="006E4B77">
      <w:pPr>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primi 4 anni (valutati per intero) </w:t>
      </w:r>
      <w:r>
        <w:rPr>
          <w:rFonts w:ascii="Noto Sans Symbols" w:eastAsia="Noto Sans Symbols" w:hAnsi="Noto Sans Symbols" w:cs="Noto Sans Symbols"/>
          <w:color w:val="000000"/>
          <w:sz w:val="18"/>
          <w:szCs w:val="18"/>
        </w:rPr>
        <w:t>⇒</w:t>
      </w:r>
      <w:r>
        <w:rPr>
          <w:rFonts w:ascii="Times New Roman" w:eastAsia="Times New Roman" w:hAnsi="Times New Roman" w:cs="Times New Roman"/>
          <w:color w:val="000000"/>
          <w:sz w:val="18"/>
          <w:szCs w:val="18"/>
        </w:rPr>
        <w:t xml:space="preserve"> 4 anni x 3 punti = 12 punti</w:t>
      </w:r>
    </w:p>
    <w:p w:rsidR="00F9241C" w:rsidRDefault="006E4B77">
      <w:pPr>
        <w:pBdr>
          <w:top w:val="nil"/>
          <w:left w:val="nil"/>
          <w:bottom w:val="nil"/>
          <w:right w:val="nil"/>
          <w:between w:val="nil"/>
        </w:pBdr>
        <w:ind w:firstLine="284"/>
        <w:jc w:val="both"/>
        <w:rPr>
          <w:rFonts w:ascii="Times New Roman" w:eastAsia="Times New Roman" w:hAnsi="Times New Roman" w:cs="Times New Roman"/>
          <w:color w:val="000000"/>
          <w:sz w:val="18"/>
          <w:szCs w:val="18"/>
          <w:u w:val="single"/>
        </w:rPr>
      </w:pPr>
      <w:r>
        <w:rPr>
          <w:rFonts w:ascii="Times New Roman" w:eastAsia="Times New Roman" w:hAnsi="Times New Roman" w:cs="Times New Roman"/>
          <w:color w:val="000000"/>
          <w:sz w:val="18"/>
          <w:szCs w:val="18"/>
          <w:u w:val="single"/>
        </w:rPr>
        <w:t xml:space="preserve">rimanenti 2 anni (valutati due terzi) </w:t>
      </w:r>
      <w:r>
        <w:rPr>
          <w:rFonts w:ascii="Noto Sans Symbols" w:eastAsia="Noto Sans Symbols" w:hAnsi="Noto Sans Symbols" w:cs="Noto Sans Symbols"/>
          <w:color w:val="000000"/>
          <w:sz w:val="18"/>
          <w:szCs w:val="18"/>
          <w:u w:val="single"/>
        </w:rPr>
        <w:t>⇒</w:t>
      </w:r>
      <w:r>
        <w:rPr>
          <w:rFonts w:ascii="Times New Roman" w:eastAsia="Times New Roman" w:hAnsi="Times New Roman" w:cs="Times New Roman"/>
          <w:color w:val="000000"/>
          <w:sz w:val="18"/>
          <w:szCs w:val="18"/>
          <w:u w:val="single"/>
        </w:rPr>
        <w:t xml:space="preserve"> 2/3 x 2 anni x 3 punti = 4 punti</w:t>
      </w:r>
    </w:p>
    <w:p w:rsidR="00F9241C" w:rsidRDefault="006E4B77">
      <w:pPr>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totale: 12 punti + 4 punti </w:t>
      </w:r>
      <w:r>
        <w:rPr>
          <w:rFonts w:ascii="Noto Sans Symbols" w:eastAsia="Noto Sans Symbols" w:hAnsi="Noto Sans Symbols" w:cs="Noto Sans Symbols"/>
          <w:color w:val="000000"/>
          <w:sz w:val="18"/>
          <w:szCs w:val="18"/>
        </w:rPr>
        <w:t>⇒</w:t>
      </w:r>
      <w:r>
        <w:rPr>
          <w:rFonts w:ascii="Times New Roman" w:eastAsia="Times New Roman" w:hAnsi="Times New Roman" w:cs="Times New Roman"/>
          <w:color w:val="000000"/>
          <w:sz w:val="18"/>
          <w:szCs w:val="18"/>
        </w:rPr>
        <w:t xml:space="preserve"> 16 punti.</w:t>
      </w:r>
    </w:p>
    <w:p w:rsidR="00F9241C" w:rsidRDefault="006E4B77">
      <w:pPr>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Oltre che per i docenti delle scuole ed istituti di istruzione di II grado ed artistica, il cui servizio di ruolo prestato come insegnante di scuola secondaria di I grado deve essere sempre valutato, i servizi di cui al precedente capoverso dovranno essere</w:t>
      </w:r>
      <w:r>
        <w:rPr>
          <w:rFonts w:ascii="Times New Roman" w:eastAsia="Times New Roman" w:hAnsi="Times New Roman" w:cs="Times New Roman"/>
          <w:color w:val="000000"/>
          <w:sz w:val="18"/>
          <w:szCs w:val="18"/>
        </w:rPr>
        <w:t xml:space="preserve"> valutati anche se alla data di inizio dell’anno in corso, gli interessati non abbiano ancora superato il periodo di prova ai sensi della legge n. 251 del 5.6.1985. </w:t>
      </w:r>
    </w:p>
    <w:p w:rsidR="00F9241C" w:rsidRDefault="006E4B77">
      <w:pPr>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 servizio di ruolo o non di ruolo effettivamente prestato in scuole o istituti situati n</w:t>
      </w:r>
      <w:r>
        <w:rPr>
          <w:rFonts w:ascii="Times New Roman" w:eastAsia="Times New Roman" w:hAnsi="Times New Roman" w:cs="Times New Roman"/>
          <w:color w:val="000000"/>
          <w:sz w:val="18"/>
          <w:szCs w:val="18"/>
        </w:rPr>
        <w:t xml:space="preserve">elle piccole isole è valutato il doppio, anche nei casi di mancata prestazione del servizio per gravidanza, puerperio e per servizio militare di leva o per il sostitutivo servizio civile, in conformità a quanto previsto sul riconoscimento di tale servizio </w:t>
      </w:r>
      <w:r>
        <w:rPr>
          <w:rFonts w:ascii="Times New Roman" w:eastAsia="Times New Roman" w:hAnsi="Times New Roman" w:cs="Times New Roman"/>
          <w:color w:val="000000"/>
          <w:sz w:val="18"/>
          <w:szCs w:val="18"/>
        </w:rPr>
        <w:t xml:space="preserve">dalle specifiche normative. </w:t>
      </w:r>
    </w:p>
    <w:p w:rsidR="00F9241C" w:rsidRDefault="006E4B77">
      <w:pPr>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Qualora il docente abbia usufruito di periodi di aspettativa per famiglia il punteggio per i servizi di ruolo di cui alle lettere A e B del punto I della tabella di valutazione sarà attribuito per intero, a condizione che nel relativo anno scolastico l’int</w:t>
      </w:r>
      <w:r>
        <w:rPr>
          <w:rFonts w:ascii="Times New Roman" w:eastAsia="Times New Roman" w:hAnsi="Times New Roman" w:cs="Times New Roman"/>
          <w:color w:val="000000"/>
          <w:sz w:val="18"/>
          <w:szCs w:val="18"/>
        </w:rPr>
        <w:t xml:space="preserve">eressato abbia prestato un servizio non inferiore a 180 giorni. In caso contrario l’anno non può essere valutato e, pertanto, non sarà attribuito alcun </w:t>
      </w:r>
      <w:r>
        <w:rPr>
          <w:rFonts w:ascii="Times New Roman" w:eastAsia="Times New Roman" w:hAnsi="Times New Roman" w:cs="Times New Roman"/>
          <w:color w:val="000000"/>
          <w:sz w:val="18"/>
          <w:szCs w:val="18"/>
        </w:rPr>
        <w:lastRenderedPageBreak/>
        <w:t>punteggio. I periodi di congedo retribuiti e non retribuiti disciplinati dal Decreto Legislativo 26.3.20</w:t>
      </w:r>
      <w:r>
        <w:rPr>
          <w:rFonts w:ascii="Times New Roman" w:eastAsia="Times New Roman" w:hAnsi="Times New Roman" w:cs="Times New Roman"/>
          <w:color w:val="000000"/>
          <w:sz w:val="18"/>
          <w:szCs w:val="18"/>
        </w:rPr>
        <w:t>01 n. 151 (Capo III - Congedo di maternità, Capo IV - Congedo di paternità, Capo V - Congedo parentale, Capo VII - Congedi per la malattia del figlio) devono essere computati nell’anzianità di servizio a tutti gli effetti.</w:t>
      </w:r>
    </w:p>
    <w:p w:rsidR="00F9241C" w:rsidRDefault="006E4B77">
      <w:pPr>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Al personale docente di ruolo che</w:t>
      </w:r>
      <w:r>
        <w:rPr>
          <w:rFonts w:ascii="Times New Roman" w:eastAsia="Times New Roman" w:hAnsi="Times New Roman" w:cs="Times New Roman"/>
          <w:color w:val="000000"/>
          <w:sz w:val="18"/>
          <w:szCs w:val="18"/>
        </w:rPr>
        <w:t xml:space="preserve"> abbia frequentato, ai sensi dell’art. 2 della legge 13.8.1984, n. 476, i corsi di dottorato di ricerca e al personale docente di ruolo assegnatario di borse di studio o assegni di ricerca - a norma dell’art. 453 del </w:t>
      </w:r>
      <w:proofErr w:type="spellStart"/>
      <w:r>
        <w:rPr>
          <w:rFonts w:ascii="Times New Roman" w:eastAsia="Times New Roman" w:hAnsi="Times New Roman" w:cs="Times New Roman"/>
          <w:color w:val="000000"/>
          <w:sz w:val="18"/>
          <w:szCs w:val="18"/>
        </w:rPr>
        <w:t>D.L.vo</w:t>
      </w:r>
      <w:proofErr w:type="spellEnd"/>
      <w:r>
        <w:rPr>
          <w:rFonts w:ascii="Times New Roman" w:eastAsia="Times New Roman" w:hAnsi="Times New Roman" w:cs="Times New Roman"/>
          <w:color w:val="000000"/>
          <w:sz w:val="18"/>
          <w:szCs w:val="18"/>
        </w:rPr>
        <w:t xml:space="preserve"> 16.4.1994 n. 297 - da parte di a</w:t>
      </w:r>
      <w:r>
        <w:rPr>
          <w:rFonts w:ascii="Times New Roman" w:eastAsia="Times New Roman" w:hAnsi="Times New Roman" w:cs="Times New Roman"/>
          <w:color w:val="000000"/>
          <w:sz w:val="18"/>
          <w:szCs w:val="18"/>
        </w:rPr>
        <w:t xml:space="preserve">mministrazioni statali, di enti pubblici, di stati od enti stranieri, di organismi ed enti internazionali, è riconosciuto il periodo di durata del corso o della borsa di studio come effettivo servizio di ruolo e quindi valutato ai fini del trasferimento a </w:t>
      </w:r>
      <w:r>
        <w:rPr>
          <w:rFonts w:ascii="Times New Roman" w:eastAsia="Times New Roman" w:hAnsi="Times New Roman" w:cs="Times New Roman"/>
          <w:color w:val="000000"/>
          <w:sz w:val="18"/>
          <w:szCs w:val="18"/>
        </w:rPr>
        <w:t>domanda o d’ufficio ai sensi della lettera A), se si è in servizio nello stesso ruolo, mentre è valutato ai sensi della lettera B) nella parte relativa al servizio in altro ruolo, del titolo I delle tabelle di valutazione. Analogamente sono riconosciuti ut</w:t>
      </w:r>
      <w:r>
        <w:rPr>
          <w:rFonts w:ascii="Times New Roman" w:eastAsia="Times New Roman" w:hAnsi="Times New Roman" w:cs="Times New Roman"/>
          <w:color w:val="000000"/>
          <w:sz w:val="18"/>
          <w:szCs w:val="18"/>
        </w:rPr>
        <w:t xml:space="preserve">ili gli anni di servizio come ricercatore a tempo determinato del personale docente già di ruolo, ai sensi della legge 240/10 e </w:t>
      </w:r>
      <w:proofErr w:type="spellStart"/>
      <w:r>
        <w:rPr>
          <w:rFonts w:ascii="Times New Roman" w:eastAsia="Times New Roman" w:hAnsi="Times New Roman" w:cs="Times New Roman"/>
          <w:color w:val="000000"/>
          <w:sz w:val="18"/>
          <w:szCs w:val="18"/>
        </w:rPr>
        <w:t>s.i.m</w:t>
      </w:r>
      <w:proofErr w:type="spellEnd"/>
      <w:r>
        <w:rPr>
          <w:rFonts w:ascii="Times New Roman" w:eastAsia="Times New Roman" w:hAnsi="Times New Roman" w:cs="Times New Roman"/>
          <w:color w:val="000000"/>
          <w:sz w:val="18"/>
          <w:szCs w:val="18"/>
        </w:rPr>
        <w:t>. art 24 comma 9bis. Tale riconoscimento avviene tenuto conto della circostanza che il periodo di questo tipo di congedo st</w:t>
      </w:r>
      <w:r>
        <w:rPr>
          <w:rFonts w:ascii="Times New Roman" w:eastAsia="Times New Roman" w:hAnsi="Times New Roman" w:cs="Times New Roman"/>
          <w:color w:val="000000"/>
          <w:sz w:val="18"/>
          <w:szCs w:val="18"/>
        </w:rPr>
        <w:t>raordinario è utile ai fini della progressione di carriera, del trattamento di quiescenza e di previdenza. Detto periodo non va valutato ai fini dell’attribuzione del punteggio concernente la continuità del servizio nella stessa scuola, né nel comune.</w:t>
      </w:r>
    </w:p>
    <w:p w:rsidR="00F9241C" w:rsidRDefault="006E4B77">
      <w:pPr>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 s</w:t>
      </w:r>
      <w:r>
        <w:rPr>
          <w:rFonts w:ascii="Times New Roman" w:eastAsia="Times New Roman" w:hAnsi="Times New Roman" w:cs="Times New Roman"/>
          <w:color w:val="000000"/>
          <w:sz w:val="18"/>
          <w:szCs w:val="18"/>
        </w:rPr>
        <w:t xml:space="preserve">ervizio prestato nelle scuole paritarie non è valutabile in quanto non riconoscibile ai fini della ricostruzione di carriera. È fatto salvo il riconoscimento del servizio prestato: </w:t>
      </w:r>
    </w:p>
    <w:p w:rsidR="00F9241C" w:rsidRDefault="006E4B77">
      <w:pPr>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fino al 31.8.2008 nelle scuole paritarie primarie che abbiano mantenuto</w:t>
      </w:r>
      <w:r>
        <w:rPr>
          <w:rFonts w:ascii="Times New Roman" w:eastAsia="Times New Roman" w:hAnsi="Times New Roman" w:cs="Times New Roman"/>
          <w:color w:val="000000"/>
          <w:sz w:val="18"/>
          <w:szCs w:val="18"/>
        </w:rPr>
        <w:t xml:space="preserve"> lo status di parificate congiuntamente a quello di paritarie</w:t>
      </w:r>
    </w:p>
    <w:p w:rsidR="00F9241C" w:rsidRDefault="006E4B77">
      <w:pPr>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 nelle scuole paritarie dell’infanzia comunali </w:t>
      </w:r>
    </w:p>
    <w:p w:rsidR="00F9241C" w:rsidRDefault="006E4B77">
      <w:pPr>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 nelle scuole secondarie pareggiate (art. 360 del T.U.).</w:t>
      </w:r>
    </w:p>
    <w:p w:rsidR="00F9241C" w:rsidRDefault="00F9241C">
      <w:pPr>
        <w:pBdr>
          <w:top w:val="nil"/>
          <w:left w:val="nil"/>
          <w:bottom w:val="nil"/>
          <w:right w:val="nil"/>
          <w:between w:val="nil"/>
        </w:pBdr>
        <w:ind w:firstLine="284"/>
        <w:jc w:val="both"/>
        <w:rPr>
          <w:rFonts w:ascii="Times New Roman" w:eastAsia="Times New Roman" w:hAnsi="Times New Roman" w:cs="Times New Roman"/>
          <w:color w:val="000000"/>
          <w:sz w:val="18"/>
          <w:szCs w:val="18"/>
        </w:rPr>
      </w:pPr>
    </w:p>
    <w:p w:rsidR="00F9241C" w:rsidRDefault="006E4B77">
      <w:pPr>
        <w:pBdr>
          <w:top w:val="nil"/>
          <w:left w:val="nil"/>
          <w:bottom w:val="nil"/>
          <w:right w:val="nil"/>
          <w:between w:val="nil"/>
        </w:pBdr>
        <w:ind w:hanging="567"/>
        <w:jc w:val="both"/>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t>Note</w:t>
      </w:r>
    </w:p>
    <w:p w:rsidR="00F9241C" w:rsidRDefault="006E4B77">
      <w:pPr>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w:t>
      </w:r>
      <w:r>
        <w:rPr>
          <w:rFonts w:ascii="Times New Roman" w:eastAsia="Times New Roman" w:hAnsi="Times New Roman" w:cs="Times New Roman"/>
          <w:color w:val="000000"/>
          <w:sz w:val="18"/>
          <w:szCs w:val="18"/>
        </w:rPr>
        <w:t xml:space="preserve"> Il ruolo di appartenenza va riferito rispettivamente: a) alla scuola dell’infanzia; b) alla scuola primaria; c) alla scuola secondaria di I grado; d) agli istituti di istruzione secondaria di II grado e artistica. Va valutato nella misura prevista dalla p</w:t>
      </w:r>
      <w:r>
        <w:rPr>
          <w:rFonts w:ascii="Times New Roman" w:eastAsia="Times New Roman" w:hAnsi="Times New Roman" w:cs="Times New Roman"/>
          <w:color w:val="000000"/>
          <w:sz w:val="18"/>
          <w:szCs w:val="18"/>
        </w:rPr>
        <w:t>resente voce il servizio prestato, a decorrere dall’anno scolastico 1978/79, dalle assistenti di scuola materna statale utilizzate, ai sensi dell’articolo 8 della legge n. 463/78, come insegnanti di scuola materna. Va valutato nella misura prevista dalla p</w:t>
      </w:r>
      <w:r>
        <w:rPr>
          <w:rFonts w:ascii="Times New Roman" w:eastAsia="Times New Roman" w:hAnsi="Times New Roman" w:cs="Times New Roman"/>
          <w:color w:val="000000"/>
          <w:sz w:val="18"/>
          <w:szCs w:val="18"/>
        </w:rPr>
        <w:t xml:space="preserve">resente voce anche il servizio prestato dal personale durante il periodo di collocamento fuori ruolo ai sensi dell’art. 23 comma 5 del CCNL sottoscritto il 4/8/1995, dell’art. 17 comma 5 del CCNL sottoscritto il 24/7/2003 e dell’art. 17, comma 5, del CCNL </w:t>
      </w:r>
      <w:r>
        <w:rPr>
          <w:rFonts w:ascii="Times New Roman" w:eastAsia="Times New Roman" w:hAnsi="Times New Roman" w:cs="Times New Roman"/>
          <w:color w:val="000000"/>
          <w:sz w:val="18"/>
          <w:szCs w:val="18"/>
        </w:rPr>
        <w:t xml:space="preserve">sottoscritto il 29.11.2007. Per ogni anno di insegnamento prestato, con il possesso del prescritto titolo di specializzazione, nelle scuole speciali o ad indirizzo didattico differenziato o nelle classi differenziali, o nei posti di sostegno, o nelle DOS, </w:t>
      </w:r>
      <w:r>
        <w:rPr>
          <w:rFonts w:ascii="Times New Roman" w:eastAsia="Times New Roman" w:hAnsi="Times New Roman" w:cs="Times New Roman"/>
          <w:color w:val="000000"/>
          <w:sz w:val="18"/>
          <w:szCs w:val="18"/>
        </w:rPr>
        <w:t>qualora il trasferimento a domanda o d’ufficio sia richiesto indifferentemente sia per le scuole speciali, sia per quelle a indirizzo didattico differenziato, sia, infine, per posti di sostegno il punteggio è raddoppiato. Relativamente ai docenti delle scu</w:t>
      </w:r>
      <w:r>
        <w:rPr>
          <w:rFonts w:ascii="Times New Roman" w:eastAsia="Times New Roman" w:hAnsi="Times New Roman" w:cs="Times New Roman"/>
          <w:color w:val="000000"/>
          <w:sz w:val="18"/>
          <w:szCs w:val="18"/>
        </w:rPr>
        <w:t>ole primarie, per ogni anno di insegnamento</w:t>
      </w:r>
      <w:r>
        <w:rPr>
          <w:rFonts w:ascii="Times New Roman" w:eastAsia="Times New Roman" w:hAnsi="Times New Roman" w:cs="Times New Roman"/>
          <w:strike/>
          <w:color w:val="000000"/>
          <w:sz w:val="18"/>
          <w:szCs w:val="18"/>
        </w:rPr>
        <w:t xml:space="preserve"> </w:t>
      </w:r>
      <w:r>
        <w:rPr>
          <w:rFonts w:ascii="Times New Roman" w:eastAsia="Times New Roman" w:hAnsi="Times New Roman" w:cs="Times New Roman"/>
          <w:color w:val="000000"/>
          <w:sz w:val="18"/>
          <w:szCs w:val="18"/>
        </w:rPr>
        <w:t>nelle scuole di montagna ai sensi della legge 1/3/1957, n. 90, il punteggio è raddoppiato. Per l’attribuzione del punteggio si prescinde dal requisito della residenza in sede. Per ogni anno di servizio prestato n</w:t>
      </w:r>
      <w:r>
        <w:rPr>
          <w:rFonts w:ascii="Times New Roman" w:eastAsia="Times New Roman" w:hAnsi="Times New Roman" w:cs="Times New Roman"/>
          <w:color w:val="000000"/>
          <w:sz w:val="18"/>
          <w:szCs w:val="18"/>
        </w:rPr>
        <w:t>ei paesi in via di sviluppo il punteggio è raddoppiato.</w:t>
      </w:r>
    </w:p>
    <w:p w:rsidR="00F9241C" w:rsidRDefault="006E4B77">
      <w:pPr>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(2)</w:t>
      </w:r>
      <w:r>
        <w:rPr>
          <w:rFonts w:ascii="Times New Roman" w:eastAsia="Times New Roman" w:hAnsi="Times New Roman" w:cs="Times New Roman"/>
          <w:color w:val="000000"/>
          <w:sz w:val="18"/>
          <w:szCs w:val="18"/>
        </w:rPr>
        <w:t xml:space="preserve"> Ai fini dell’attribuzione del punteggio in questione il servizio nelle piccole isole deve essere effettivamente prestato - salvo le assenze per gravidanza, puerperio e per servizio militare di lev</w:t>
      </w:r>
      <w:r>
        <w:rPr>
          <w:rFonts w:ascii="Times New Roman" w:eastAsia="Times New Roman" w:hAnsi="Times New Roman" w:cs="Times New Roman"/>
          <w:color w:val="000000"/>
          <w:sz w:val="18"/>
          <w:szCs w:val="18"/>
        </w:rPr>
        <w:t>a o per il sostitutivo servizio civile - per il periodo previsto per la valutazione di un intero anno scolastico.</w:t>
      </w:r>
    </w:p>
    <w:p w:rsidR="00F9241C" w:rsidRDefault="006E4B77">
      <w:pPr>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(3)</w:t>
      </w:r>
      <w:r>
        <w:rPr>
          <w:rFonts w:ascii="Times New Roman" w:eastAsia="Times New Roman" w:hAnsi="Times New Roman" w:cs="Times New Roman"/>
          <w:color w:val="000000"/>
          <w:sz w:val="18"/>
          <w:szCs w:val="18"/>
        </w:rPr>
        <w:t xml:space="preserve"> La dizione “piccole isole” è comprensiva di tutte le isole del territorio italiano, ad eccezione, ovviamente, delle due isole maggiori (Si</w:t>
      </w:r>
      <w:r>
        <w:rPr>
          <w:rFonts w:ascii="Times New Roman" w:eastAsia="Times New Roman" w:hAnsi="Times New Roman" w:cs="Times New Roman"/>
          <w:color w:val="000000"/>
          <w:sz w:val="18"/>
          <w:szCs w:val="18"/>
        </w:rPr>
        <w:t xml:space="preserve">cilia e Sardegna). Il punteggio aggiuntivo previsto per il servizio prestato nelle piccole isole è attribuito indipendentemente dal luogo di residenza dell’interessato. </w:t>
      </w:r>
    </w:p>
    <w:p w:rsidR="00F9241C" w:rsidRDefault="006E4B77">
      <w:pPr>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(4)</w:t>
      </w:r>
      <w:r>
        <w:rPr>
          <w:rFonts w:ascii="Times New Roman" w:eastAsia="Times New Roman" w:hAnsi="Times New Roman" w:cs="Times New Roman"/>
          <w:color w:val="000000"/>
          <w:sz w:val="18"/>
          <w:szCs w:val="18"/>
        </w:rPr>
        <w:t xml:space="preserve"> L’anzianità derivante da decorrenza giuridica della nomina anteriore alla decorren</w:t>
      </w:r>
      <w:r>
        <w:rPr>
          <w:rFonts w:ascii="Times New Roman" w:eastAsia="Times New Roman" w:hAnsi="Times New Roman" w:cs="Times New Roman"/>
          <w:color w:val="000000"/>
          <w:sz w:val="18"/>
          <w:szCs w:val="18"/>
        </w:rPr>
        <w:t>za economica, se non è stato prestato alcun servizio è valutata 3 punti per ogni anno per tutti gli anni sia nella mobilità d’ufficio che in quella a domanda. L’anzianità derivante da decorrenza giuridica della nomina anteriore alla decorrenza economica se</w:t>
      </w:r>
      <w:r>
        <w:rPr>
          <w:rFonts w:ascii="Times New Roman" w:eastAsia="Times New Roman" w:hAnsi="Times New Roman" w:cs="Times New Roman"/>
          <w:color w:val="000000"/>
          <w:sz w:val="18"/>
          <w:szCs w:val="18"/>
        </w:rPr>
        <w:t xml:space="preserve"> il servizio non è stato prestato nel ruolo di appartenenza è valutata 6 punti nella mobilità a domanda e 3 punti per ogni anno per tutti gli anni nella mobilità d’ufficio. Nella mobilità a domanda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 ruolo e un precedente servizio di altro ru</w:t>
      </w:r>
      <w:r>
        <w:rPr>
          <w:rFonts w:ascii="Times New Roman" w:eastAsia="Times New Roman" w:hAnsi="Times New Roman" w:cs="Times New Roman"/>
          <w:color w:val="000000"/>
          <w:sz w:val="18"/>
          <w:szCs w:val="18"/>
        </w:rPr>
        <w:t xml:space="preserve">olo è valutato 6 punti per ogni anno per tutti gli anni.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 ruolo ai fini della compilazione delle graduatorie interne per l’individuazione del perdente posto continua ad essere valutato 3 punti per i primi quattro anni e 2 per i successivi.</w:t>
      </w:r>
      <w:r>
        <w:rPr>
          <w:rFonts w:ascii="Times New Roman" w:eastAsia="Times New Roman" w:hAnsi="Times New Roman" w:cs="Times New Roman"/>
          <w:color w:val="FF0000"/>
          <w:sz w:val="18"/>
          <w:szCs w:val="18"/>
        </w:rPr>
        <w:t xml:space="preserve"> </w:t>
      </w:r>
      <w:r>
        <w:rPr>
          <w:rFonts w:ascii="Times New Roman" w:eastAsia="Times New Roman" w:hAnsi="Times New Roman" w:cs="Times New Roman"/>
          <w:color w:val="000000"/>
          <w:sz w:val="18"/>
          <w:szCs w:val="18"/>
        </w:rPr>
        <w:t>N</w:t>
      </w:r>
      <w:r>
        <w:rPr>
          <w:rFonts w:ascii="Times New Roman" w:eastAsia="Times New Roman" w:hAnsi="Times New Roman" w:cs="Times New Roman"/>
          <w:color w:val="000000"/>
          <w:sz w:val="18"/>
          <w:szCs w:val="18"/>
        </w:rPr>
        <w:t>ella mobilità d’ufficio in merito alla valutazione di un precedente servizio di ruolo, prestato in un ruolo diverso, si precisa che gli anni di servizio di ruolo prestati nella scuola dell’infanzia si valutano per intero (3 punti per ogni anno per tutti gl</w:t>
      </w:r>
      <w:r>
        <w:rPr>
          <w:rFonts w:ascii="Times New Roman" w:eastAsia="Times New Roman" w:hAnsi="Times New Roman" w:cs="Times New Roman"/>
          <w:color w:val="000000"/>
          <w:sz w:val="18"/>
          <w:szCs w:val="18"/>
        </w:rPr>
        <w:t xml:space="preserve">i anni) ai sensi della presente voce, nella scuola primaria (e viceversa), mentre si sommano al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e si valutano come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-ruolo (3 punti per i primi quattro anni e 2 per i successivi), analogamente al ruolo della scuola primaria, nella scuola second</w:t>
      </w:r>
      <w:r>
        <w:rPr>
          <w:rFonts w:ascii="Times New Roman" w:eastAsia="Times New Roman" w:hAnsi="Times New Roman" w:cs="Times New Roman"/>
          <w:color w:val="000000"/>
          <w:sz w:val="18"/>
          <w:szCs w:val="18"/>
        </w:rPr>
        <w:t>aria sia di primo che di secondo grado. Gli anni di un precedente servizio di ruolo prestato nella scuola secondaria di primo grado si valutano per intero (3 punti per ogni anno per tutti gli anni), sempre ai sensi della presente voce, nella scuola seconda</w:t>
      </w:r>
      <w:r>
        <w:rPr>
          <w:rFonts w:ascii="Times New Roman" w:eastAsia="Times New Roman" w:hAnsi="Times New Roman" w:cs="Times New Roman"/>
          <w:color w:val="000000"/>
          <w:sz w:val="18"/>
          <w:szCs w:val="18"/>
        </w:rPr>
        <w:t xml:space="preserve">ria di secondo grado (e viceversa), mentre si sommano agli anni di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e si valutano come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(3 punti per i primi quattro anni e 2 per i successivi) se attualmente si è titolari nella scuola primaria o nella scuola dell’infanzia. Nella misura </w:t>
      </w:r>
      <w:r>
        <w:rPr>
          <w:rFonts w:ascii="Times New Roman" w:eastAsia="Times New Roman" w:hAnsi="Times New Roman" w:cs="Times New Roman"/>
          <w:color w:val="000000"/>
          <w:sz w:val="18"/>
          <w:szCs w:val="18"/>
        </w:rPr>
        <w:t xml:space="preserve">della presente voce è valutato anche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-ruolo prestato per almeno 180 giorni o ininterrottamente dal 1 febbraio fino al termine delle operazioni di scrutinio finale o, in quanto riconoscibile, per la scuola materna, fino al termine delle attiv</w:t>
      </w:r>
      <w:r>
        <w:rPr>
          <w:rFonts w:ascii="Times New Roman" w:eastAsia="Times New Roman" w:hAnsi="Times New Roman" w:cs="Times New Roman"/>
          <w:color w:val="000000"/>
          <w:sz w:val="18"/>
          <w:szCs w:val="18"/>
        </w:rPr>
        <w:t xml:space="preserve">ità educative, nei limiti previsti dagli artt. 485, 490 del </w:t>
      </w:r>
      <w:proofErr w:type="spellStart"/>
      <w:r>
        <w:rPr>
          <w:rFonts w:ascii="Times New Roman" w:eastAsia="Times New Roman" w:hAnsi="Times New Roman" w:cs="Times New Roman"/>
          <w:color w:val="000000"/>
          <w:sz w:val="18"/>
          <w:szCs w:val="18"/>
        </w:rPr>
        <w:t>D.L.vo</w:t>
      </w:r>
      <w:proofErr w:type="spellEnd"/>
      <w:r>
        <w:rPr>
          <w:rFonts w:ascii="Times New Roman" w:eastAsia="Times New Roman" w:hAnsi="Times New Roman" w:cs="Times New Roman"/>
          <w:color w:val="000000"/>
          <w:sz w:val="18"/>
          <w:szCs w:val="18"/>
        </w:rPr>
        <w:t xml:space="preserve"> n. 297/94 ai fini della valutabilità per la carriera, nonché il servizio prestato in altro ruolo riconosciuto o riconoscibile ai fini della carriera ai sensi del D.L. 19/6/70 n. 370, conver</w:t>
      </w:r>
      <w:r>
        <w:rPr>
          <w:rFonts w:ascii="Times New Roman" w:eastAsia="Times New Roman" w:hAnsi="Times New Roman" w:cs="Times New Roman"/>
          <w:color w:val="000000"/>
          <w:sz w:val="18"/>
          <w:szCs w:val="18"/>
        </w:rPr>
        <w:t xml:space="preserve">tito con modificazioni nella legge 26/7/70 n. 576 e successive integrazioni, ovvero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-ruolo prestato senza il prescritto titolo di specializzazione in scuole speciali o su posti di sostegno. Per ogni anno di insegnamento prestato, con il poss</w:t>
      </w:r>
      <w:r>
        <w:rPr>
          <w:rFonts w:ascii="Times New Roman" w:eastAsia="Times New Roman" w:hAnsi="Times New Roman" w:cs="Times New Roman"/>
          <w:color w:val="000000"/>
          <w:sz w:val="18"/>
          <w:szCs w:val="18"/>
        </w:rPr>
        <w:t>esso del prescritto titolo di specializzazione, nelle scuole speciali o ad indirizzo didattico differenziato o nelle classi differenziali, o nei posti di sostegno, o nelle ex DOS, qualora il trasferimento a domanda o d’ufficio sia richiesto indifferentemen</w:t>
      </w:r>
      <w:r>
        <w:rPr>
          <w:rFonts w:ascii="Times New Roman" w:eastAsia="Times New Roman" w:hAnsi="Times New Roman" w:cs="Times New Roman"/>
          <w:color w:val="000000"/>
          <w:sz w:val="18"/>
          <w:szCs w:val="18"/>
        </w:rPr>
        <w:t xml:space="preserve">te sia per le scuole speciali, sia per quelle a indirizzo didattico differenziato sia, infine, per posti di sostegno il punteggio è raddoppiato. Relativamente agli insegnanti di scuole primarie, per ogni anno di insegnamento in scuola di montagna ai sensi </w:t>
      </w:r>
      <w:r>
        <w:rPr>
          <w:rFonts w:ascii="Times New Roman" w:eastAsia="Times New Roman" w:hAnsi="Times New Roman" w:cs="Times New Roman"/>
          <w:color w:val="000000"/>
          <w:sz w:val="18"/>
          <w:szCs w:val="18"/>
        </w:rPr>
        <w:t>della legge 1/3/1957, n. 90, il punteggio è raddoppiato. Per l’attribuzione del punteggio si prescinde dal requisito della residenza in sede. Va valutato nella misura prevista dalla presente voce il servizio dei docenti appartenenti al ruolo dei laureati d</w:t>
      </w:r>
      <w:r>
        <w:rPr>
          <w:rFonts w:ascii="Times New Roman" w:eastAsia="Times New Roman" w:hAnsi="Times New Roman" w:cs="Times New Roman"/>
          <w:color w:val="000000"/>
          <w:sz w:val="18"/>
          <w:szCs w:val="18"/>
        </w:rPr>
        <w:t>egli istituti di istruzione secondaria di II grado e artistica, prestato precedentemente nel ruolo dei diplomati e viceversa. Il servizio prestato in qualità di assistente nei licei artistici, va considerato come servizio prestato nel ruolo dei docenti dip</w:t>
      </w:r>
      <w:r>
        <w:rPr>
          <w:rFonts w:ascii="Times New Roman" w:eastAsia="Times New Roman" w:hAnsi="Times New Roman" w:cs="Times New Roman"/>
          <w:color w:val="000000"/>
          <w:sz w:val="18"/>
          <w:szCs w:val="18"/>
        </w:rPr>
        <w:t xml:space="preserve">lomati. Nella stessa misura va valutato, altresì, il servizio del personale educativo transitato nel ruolo degli insegnanti della scuola primaria e viceversa. </w:t>
      </w:r>
    </w:p>
    <w:p w:rsidR="00F9241C" w:rsidRDefault="006E4B77">
      <w:pPr>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lastRenderedPageBreak/>
        <w:t>(5)</w:t>
      </w:r>
      <w:r>
        <w:rPr>
          <w:rFonts w:ascii="Times New Roman" w:eastAsia="Times New Roman" w:hAnsi="Times New Roman" w:cs="Times New Roman"/>
          <w:color w:val="000000"/>
          <w:sz w:val="18"/>
          <w:szCs w:val="18"/>
        </w:rPr>
        <w:t xml:space="preserve"> La continuità del servizio prestato ininterrottamente da almeno un triennio nella scuola di </w:t>
      </w:r>
      <w:r>
        <w:rPr>
          <w:rFonts w:ascii="Times New Roman" w:eastAsia="Times New Roman" w:hAnsi="Times New Roman" w:cs="Times New Roman"/>
          <w:color w:val="000000"/>
          <w:sz w:val="18"/>
          <w:szCs w:val="18"/>
        </w:rPr>
        <w:t>attuale titolarità ovvero nella scuola di servizio per il personale ex titolare di Dotazione Organica di Sostegno (DOS) nella scuola secondaria di II grado (lettera C, del titolo I della tabella di valutazione dei trasferimenti) deve essere attestata dall’</w:t>
      </w:r>
      <w:r>
        <w:rPr>
          <w:rFonts w:ascii="Times New Roman" w:eastAsia="Times New Roman" w:hAnsi="Times New Roman" w:cs="Times New Roman"/>
          <w:color w:val="000000"/>
          <w:sz w:val="18"/>
          <w:szCs w:val="18"/>
        </w:rPr>
        <w:t>interessato con apposita dichiarazione personale. Il primo anno del triennio per l’attribuzione del punteggio per la continuità al personale ex DOS decorre a partire dall’anno scolastico 2003/2004. Il primo anno del triennio per l’attribuzione del punteggi</w:t>
      </w:r>
      <w:r>
        <w:rPr>
          <w:rFonts w:ascii="Times New Roman" w:eastAsia="Times New Roman" w:hAnsi="Times New Roman" w:cs="Times New Roman"/>
          <w:color w:val="000000"/>
          <w:sz w:val="18"/>
          <w:szCs w:val="18"/>
        </w:rPr>
        <w:t xml:space="preserve">o per la continuità ai docenti di religione cattolica decorre a partire </w:t>
      </w:r>
      <w:proofErr w:type="spellStart"/>
      <w:r>
        <w:rPr>
          <w:rFonts w:ascii="Times New Roman" w:eastAsia="Times New Roman" w:hAnsi="Times New Roman" w:cs="Times New Roman"/>
          <w:color w:val="000000"/>
          <w:sz w:val="18"/>
          <w:szCs w:val="18"/>
        </w:rPr>
        <w:t>dall’a.s.</w:t>
      </w:r>
      <w:proofErr w:type="spellEnd"/>
      <w:r>
        <w:rPr>
          <w:rFonts w:ascii="Times New Roman" w:eastAsia="Times New Roman" w:hAnsi="Times New Roman" w:cs="Times New Roman"/>
          <w:color w:val="000000"/>
          <w:sz w:val="18"/>
          <w:szCs w:val="18"/>
        </w:rPr>
        <w:t xml:space="preserve"> 2009/2010. L’introduzione </w:t>
      </w:r>
      <w:proofErr w:type="spellStart"/>
      <w:r>
        <w:rPr>
          <w:rFonts w:ascii="Times New Roman" w:eastAsia="Times New Roman" w:hAnsi="Times New Roman" w:cs="Times New Roman"/>
          <w:color w:val="000000"/>
          <w:sz w:val="18"/>
          <w:szCs w:val="18"/>
        </w:rPr>
        <w:t>nell’a.s.</w:t>
      </w:r>
      <w:proofErr w:type="spellEnd"/>
      <w:r>
        <w:rPr>
          <w:rFonts w:ascii="Times New Roman" w:eastAsia="Times New Roman" w:hAnsi="Times New Roman" w:cs="Times New Roman"/>
          <w:color w:val="000000"/>
          <w:sz w:val="18"/>
          <w:szCs w:val="18"/>
        </w:rPr>
        <w:t xml:space="preserve"> 1998/99 dell’organico di circolo, per la scuola primaria, e </w:t>
      </w:r>
      <w:proofErr w:type="spellStart"/>
      <w:r>
        <w:rPr>
          <w:rFonts w:ascii="Times New Roman" w:eastAsia="Times New Roman" w:hAnsi="Times New Roman" w:cs="Times New Roman"/>
          <w:color w:val="000000"/>
          <w:sz w:val="18"/>
          <w:szCs w:val="18"/>
        </w:rPr>
        <w:t>nell’a.s.</w:t>
      </w:r>
      <w:proofErr w:type="spellEnd"/>
      <w:r>
        <w:rPr>
          <w:rFonts w:ascii="Times New Roman" w:eastAsia="Times New Roman" w:hAnsi="Times New Roman" w:cs="Times New Roman"/>
          <w:color w:val="000000"/>
          <w:sz w:val="18"/>
          <w:szCs w:val="18"/>
        </w:rPr>
        <w:t xml:space="preserve"> 1999/2000 per la scuola dell’infanzia e per la scuola primaria dei c</w:t>
      </w:r>
      <w:r>
        <w:rPr>
          <w:rFonts w:ascii="Times New Roman" w:eastAsia="Times New Roman" w:hAnsi="Times New Roman" w:cs="Times New Roman"/>
          <w:color w:val="000000"/>
          <w:sz w:val="18"/>
          <w:szCs w:val="18"/>
        </w:rPr>
        <w:t>omuni di montagna e delle piccole isole, non costituisce soluzione di continuità del servizio ai fini della dichiarazione di servizio continuativo nel caso di passaggio dal plesso di titolarità del docente al circolo corrispondente. Analogamente non costit</w:t>
      </w:r>
      <w:r>
        <w:rPr>
          <w:rFonts w:ascii="Times New Roman" w:eastAsia="Times New Roman" w:hAnsi="Times New Roman" w:cs="Times New Roman"/>
          <w:color w:val="000000"/>
          <w:sz w:val="18"/>
          <w:szCs w:val="18"/>
        </w:rPr>
        <w:t>uisce soluzione di continuità l’introduzione dell’organico unico dell’autonomia, con l’automatica attribuzione della titolarità su codice unico in tutte le situazioni in cui era distinto.</w:t>
      </w:r>
      <w:r>
        <w:rPr>
          <w:rFonts w:ascii="Times New Roman" w:eastAsia="Times New Roman" w:hAnsi="Times New Roman" w:cs="Times New Roman"/>
          <w:color w:val="FF0000"/>
          <w:sz w:val="18"/>
          <w:szCs w:val="18"/>
        </w:rPr>
        <w:t xml:space="preserve"> </w:t>
      </w:r>
      <w:r>
        <w:rPr>
          <w:rFonts w:ascii="Times New Roman" w:eastAsia="Times New Roman" w:hAnsi="Times New Roman" w:cs="Times New Roman"/>
          <w:color w:val="000000"/>
          <w:sz w:val="18"/>
          <w:szCs w:val="18"/>
        </w:rPr>
        <w:t>Il trasferimento ottenuto precedentemente all’introduzione dell’orga</w:t>
      </w:r>
      <w:r>
        <w:rPr>
          <w:rFonts w:ascii="Times New Roman" w:eastAsia="Times New Roman" w:hAnsi="Times New Roman" w:cs="Times New Roman"/>
          <w:color w:val="000000"/>
          <w:sz w:val="18"/>
          <w:szCs w:val="18"/>
        </w:rPr>
        <w:t>nico tra plessi dello stesso circolo interrompe la continuità di servizio. Per la scuola primaria, il trasferimento tra i posti dell’organico (comune e lingua) nello stesso circolo non interrompe la continuità di servizio. Si precisa che, per l’attribuzion</w:t>
      </w:r>
      <w:r>
        <w:rPr>
          <w:rFonts w:ascii="Times New Roman" w:eastAsia="Times New Roman" w:hAnsi="Times New Roman" w:cs="Times New Roman"/>
          <w:color w:val="000000"/>
          <w:sz w:val="18"/>
          <w:szCs w:val="18"/>
        </w:rPr>
        <w:t xml:space="preserve">e del punteggio previsto dal presente comma, devono concorrere, per gli anni considerati, la titolarità nel tipo di posto (comune ovvero sostegno a prescindere dalla tipologia di disabilità) o - per le scuole ed istituti di istruzione secondaria di I e II </w:t>
      </w:r>
      <w:r>
        <w:rPr>
          <w:rFonts w:ascii="Times New Roman" w:eastAsia="Times New Roman" w:hAnsi="Times New Roman" w:cs="Times New Roman"/>
          <w:color w:val="000000"/>
          <w:sz w:val="18"/>
          <w:szCs w:val="18"/>
        </w:rPr>
        <w:t xml:space="preserve">grado ed artistica - nella classe di concorso di attuale appartenenza (con esclusione sia del periodo di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-ruolo sia del periodo coperto da decorrenza giuridica retroattiva della nomina) e la prestazione del servizio presso la scuola o plesso di</w:t>
      </w:r>
      <w:r>
        <w:rPr>
          <w:rFonts w:ascii="Times New Roman" w:eastAsia="Times New Roman" w:hAnsi="Times New Roman" w:cs="Times New Roman"/>
          <w:color w:val="000000"/>
          <w:sz w:val="18"/>
          <w:szCs w:val="18"/>
        </w:rPr>
        <w:t xml:space="preserve"> titolarità. Per i docenti titolari di posti per l’istruzione e la formazione dell’età adulta attivati presso i centri provinciali per l’istruzione degli adulti ai sensi di quanto disposto dal D.P.R. n. 263/2012 ai fini dell’assegnazione del punteggio per </w:t>
      </w:r>
      <w:r>
        <w:rPr>
          <w:rFonts w:ascii="Times New Roman" w:eastAsia="Times New Roman" w:hAnsi="Times New Roman" w:cs="Times New Roman"/>
          <w:color w:val="000000"/>
          <w:sz w:val="18"/>
          <w:szCs w:val="18"/>
        </w:rPr>
        <w:t>la continuità del servizio, va fatto riferimento alla titolarità del posto per l’istruzione e la formazione dell’età adulta a suo tempo individuati a livello di distretto o comunque nelle sedi di organico confluite nei C.P.I.A. Per i docenti titolari in is</w:t>
      </w:r>
      <w:r>
        <w:rPr>
          <w:rFonts w:ascii="Times New Roman" w:eastAsia="Times New Roman" w:hAnsi="Times New Roman" w:cs="Times New Roman"/>
          <w:color w:val="000000"/>
          <w:sz w:val="18"/>
          <w:szCs w:val="18"/>
        </w:rPr>
        <w:t>tituti in cui sono presenti corsi serali e, analogamente, per i docenti titolari in corsi serali la continuità didattica è riferita esclusivamente al servizio prestato sullo stesso tipo organico di titolarità (o diurno o serale). Da tale ultimo requisito s</w:t>
      </w:r>
      <w:r>
        <w:rPr>
          <w:rFonts w:ascii="Times New Roman" w:eastAsia="Times New Roman" w:hAnsi="Times New Roman" w:cs="Times New Roman"/>
          <w:color w:val="000000"/>
          <w:sz w:val="18"/>
          <w:szCs w:val="18"/>
        </w:rPr>
        <w:t>i prescinde limitatamente al solo personale beneficiario della precedenza di cui all’art. 13, titolo I, punto II), - Personale trasferito d’ufficio nell’ultimo ottennio del presente contratto. Il punteggio in questione va attribuito anche in tutti i casi i</w:t>
      </w:r>
      <w:r>
        <w:rPr>
          <w:rFonts w:ascii="Times New Roman" w:eastAsia="Times New Roman" w:hAnsi="Times New Roman" w:cs="Times New Roman"/>
          <w:color w:val="000000"/>
          <w:sz w:val="18"/>
          <w:szCs w:val="18"/>
        </w:rPr>
        <w:t>n cui il periodo di mancata prestazione del servizio nella scuola o plesso di titolarità è riconosciuto a tutti gli effetti dalle norme vigenti come servizio validamente prestato nella medesima scuola. Conseguentemente, il punteggio per la continuità del s</w:t>
      </w:r>
      <w:r>
        <w:rPr>
          <w:rFonts w:ascii="Times New Roman" w:eastAsia="Times New Roman" w:hAnsi="Times New Roman" w:cs="Times New Roman"/>
          <w:color w:val="000000"/>
          <w:sz w:val="18"/>
          <w:szCs w:val="18"/>
        </w:rPr>
        <w:t xml:space="preserve">ervizio deve essere attribuito nel caso di assenze per motivi di salute, per gravidanza e puerperio, compresi i congedi di cui al </w:t>
      </w:r>
      <w:proofErr w:type="spellStart"/>
      <w:r>
        <w:rPr>
          <w:rFonts w:ascii="Times New Roman" w:eastAsia="Times New Roman" w:hAnsi="Times New Roman" w:cs="Times New Roman"/>
          <w:color w:val="000000"/>
          <w:sz w:val="18"/>
          <w:szCs w:val="18"/>
        </w:rPr>
        <w:t>D.L.vo</w:t>
      </w:r>
      <w:proofErr w:type="spellEnd"/>
      <w:r>
        <w:rPr>
          <w:rFonts w:ascii="Times New Roman" w:eastAsia="Times New Roman" w:hAnsi="Times New Roman" w:cs="Times New Roman"/>
          <w:color w:val="000000"/>
          <w:sz w:val="18"/>
          <w:szCs w:val="18"/>
        </w:rPr>
        <w:t xml:space="preserve"> n. 151/01, per servizio militare di leva o per il sostitutivo servizio civile, per mandato politico ed amministrativo, </w:t>
      </w:r>
      <w:r>
        <w:rPr>
          <w:rFonts w:ascii="Times New Roman" w:eastAsia="Times New Roman" w:hAnsi="Times New Roman" w:cs="Times New Roman"/>
          <w:color w:val="000000"/>
          <w:sz w:val="18"/>
          <w:szCs w:val="18"/>
        </w:rPr>
        <w:t>nel caso di utilizzazioni (ivi compresa quella nei licei musicali), di esoneri dal servizio previsti dalla legge per i componenti del Consiglio Nazionale della P.I. e del Consiglio Superiore della P.I., di esoneri sindacali, di aspettative sindacali ancorc</w:t>
      </w:r>
      <w:r>
        <w:rPr>
          <w:rFonts w:ascii="Times New Roman" w:eastAsia="Times New Roman" w:hAnsi="Times New Roman" w:cs="Times New Roman"/>
          <w:color w:val="000000"/>
          <w:sz w:val="18"/>
          <w:szCs w:val="18"/>
        </w:rPr>
        <w:t>hé non retribuite, di incarico della presidenza di scuole secondarie, di esonero dall’insegnamento dei collaboratori dei dirigenti scolastici, di esoneri per la partecipazione a commissioni di concorso, di collocamento fuori ruolo ai sensi della legge 23 d</w:t>
      </w:r>
      <w:r>
        <w:rPr>
          <w:rFonts w:ascii="Times New Roman" w:eastAsia="Times New Roman" w:hAnsi="Times New Roman" w:cs="Times New Roman"/>
          <w:color w:val="000000"/>
          <w:sz w:val="18"/>
          <w:szCs w:val="18"/>
        </w:rPr>
        <w:t xml:space="preserve">icembre 1998, n. 448, art. 26, comma 8 per il periodo in cui mantengono la titolarità ai sensi del D.L. 28/8/2000, n. 240, convertito con modificazioni nella legge 27/10/2000, n. 306, per il servizio prestato nelle scuole militari nonché per il periodo di </w:t>
      </w:r>
      <w:r>
        <w:rPr>
          <w:rFonts w:ascii="Times New Roman" w:eastAsia="Times New Roman" w:hAnsi="Times New Roman" w:cs="Times New Roman"/>
          <w:color w:val="000000"/>
          <w:sz w:val="18"/>
          <w:szCs w:val="18"/>
        </w:rPr>
        <w:t>servizio prestato nei progetti previsti dall’art 1 comma 65 della legge 107/15. Analogamente all’assenza per malattia, non interrompe la continuità del servizio l’utilizzazione in altri compiti per inidoneità temporanea. Non interrompe la maturazione del p</w:t>
      </w:r>
      <w:r>
        <w:rPr>
          <w:rFonts w:ascii="Times New Roman" w:eastAsia="Times New Roman" w:hAnsi="Times New Roman" w:cs="Times New Roman"/>
          <w:color w:val="000000"/>
          <w:sz w:val="18"/>
          <w:szCs w:val="18"/>
        </w:rPr>
        <w:t xml:space="preserve">unteggio della continuità neanche la fruizione del congedo biennale per l’assistenza a familiari con grave disabilità di cui all’art. 5 del </w:t>
      </w:r>
      <w:proofErr w:type="spellStart"/>
      <w:r>
        <w:rPr>
          <w:rFonts w:ascii="Times New Roman" w:eastAsia="Times New Roman" w:hAnsi="Times New Roman" w:cs="Times New Roman"/>
          <w:color w:val="000000"/>
          <w:sz w:val="18"/>
          <w:szCs w:val="18"/>
        </w:rPr>
        <w:t>D.L.vo</w:t>
      </w:r>
      <w:proofErr w:type="spellEnd"/>
      <w:r>
        <w:rPr>
          <w:rFonts w:ascii="Times New Roman" w:eastAsia="Times New Roman" w:hAnsi="Times New Roman" w:cs="Times New Roman"/>
          <w:color w:val="000000"/>
          <w:sz w:val="18"/>
          <w:szCs w:val="18"/>
        </w:rPr>
        <w:t xml:space="preserve"> n. 151/01. Si precisa, inoltre, che nel caso di dimensionamento della rete scolastica (sdoppiamento, aggregaz</w:t>
      </w:r>
      <w:r>
        <w:rPr>
          <w:rFonts w:ascii="Times New Roman" w:eastAsia="Times New Roman" w:hAnsi="Times New Roman" w:cs="Times New Roman"/>
          <w:color w:val="000000"/>
          <w:sz w:val="18"/>
          <w:szCs w:val="18"/>
        </w:rPr>
        <w:t>ione, soppressione, fusione di scuole) la titolarità ed il servizio relativi alla scuola di nuova istituzione o aggregante si devono ricongiungere alla titolarità ed al servizio relativi alla scuola sdoppiata, aggregata, soppressa o fusa al fine dell’attri</w:t>
      </w:r>
      <w:r>
        <w:rPr>
          <w:rFonts w:ascii="Times New Roman" w:eastAsia="Times New Roman" w:hAnsi="Times New Roman" w:cs="Times New Roman"/>
          <w:color w:val="000000"/>
          <w:sz w:val="18"/>
          <w:szCs w:val="18"/>
        </w:rPr>
        <w:t>buzione del punteggio in questione. Non interrompe la continuità del servizio l’utilizzazione in altra scuola del docente in soprannumero nella scuola di titolarità né il trasferimento del docente in quanto soprannumerario qualora il medesimo abbia richies</w:t>
      </w:r>
      <w:r>
        <w:rPr>
          <w:rFonts w:ascii="Times New Roman" w:eastAsia="Times New Roman" w:hAnsi="Times New Roman" w:cs="Times New Roman"/>
          <w:color w:val="000000"/>
          <w:sz w:val="18"/>
          <w:szCs w:val="18"/>
        </w:rPr>
        <w:t xml:space="preserve">to in ciascun anno dell’ottennio successivo anche il trasferimento nell’istituto di precedente titolarità ovvero nel comune. La continuità di servizio maturata nella scuola o nell’istituto di precedente titolarità viene valutata anche al personale docente </w:t>
      </w:r>
      <w:r>
        <w:rPr>
          <w:rFonts w:ascii="Times New Roman" w:eastAsia="Times New Roman" w:hAnsi="Times New Roman" w:cs="Times New Roman"/>
          <w:color w:val="000000"/>
          <w:sz w:val="18"/>
          <w:szCs w:val="18"/>
        </w:rPr>
        <w:t>beneficiario della precedenza di cui all’art 13, punto II) del presente contratto - alle condizioni ivi previste - che, a seguito del trasferimento d’ufficio, sia attualmente titolare su ambito. Si precisa che il punteggio in questione viene riconosciuto a</w:t>
      </w:r>
      <w:r>
        <w:rPr>
          <w:rFonts w:ascii="Times New Roman" w:eastAsia="Times New Roman" w:hAnsi="Times New Roman" w:cs="Times New Roman"/>
          <w:color w:val="000000"/>
          <w:sz w:val="18"/>
          <w:szCs w:val="18"/>
        </w:rPr>
        <w:t xml:space="preserve">nche per la formulazione della graduatoria interna di istituto ai fini dell’individuazione del soprannumerario da trasferire d’ufficio. La continuità didattica, legata alla scuola di ex-titolarità, del personale scolastico trasferito d’ufficio nell’ultimo </w:t>
      </w:r>
      <w:r>
        <w:rPr>
          <w:rFonts w:ascii="Times New Roman" w:eastAsia="Times New Roman" w:hAnsi="Times New Roman" w:cs="Times New Roman"/>
          <w:color w:val="000000"/>
          <w:sz w:val="18"/>
          <w:szCs w:val="18"/>
        </w:rPr>
        <w:t>ottennio va considerata ai fini della sola domanda di trasferimento e non anche della domanda di passaggio. Nei riguardi del personale docente ed educativo soprannumerario trasferito d’ufficio senza aver prodotto domanda o trasferito a domanda condizionata</w:t>
      </w:r>
      <w:r>
        <w:rPr>
          <w:rFonts w:ascii="Times New Roman" w:eastAsia="Times New Roman" w:hAnsi="Times New Roman" w:cs="Times New Roman"/>
          <w:color w:val="000000"/>
          <w:sz w:val="18"/>
          <w:szCs w:val="18"/>
        </w:rPr>
        <w:t xml:space="preserve">, che abbia richiesto come prima preferenza in ciascun anno dell’ottennio il rientro nella scuola o nel comune di precedente titolarità, l’aver ottenuto nel corso dell’ottennio il trasferimento per altre preferenze espresse nella domanda non interrompe la </w:t>
      </w:r>
      <w:r>
        <w:rPr>
          <w:rFonts w:ascii="Times New Roman" w:eastAsia="Times New Roman" w:hAnsi="Times New Roman" w:cs="Times New Roman"/>
          <w:color w:val="000000"/>
          <w:sz w:val="18"/>
          <w:szCs w:val="18"/>
        </w:rPr>
        <w:t>continuità del servizio. Qualora, scaduto l’ottennio in questione, il docente non abbia ottenuto il rientro nella scuola di precedente titolarità i punteggi relativi alla continuità didattica nell’ottennio dovranno essere riferiti esclusivamente alla scuol</w:t>
      </w:r>
      <w:r>
        <w:rPr>
          <w:rFonts w:ascii="Times New Roman" w:eastAsia="Times New Roman" w:hAnsi="Times New Roman" w:cs="Times New Roman"/>
          <w:color w:val="000000"/>
          <w:sz w:val="18"/>
          <w:szCs w:val="18"/>
        </w:rPr>
        <w:t xml:space="preserve">a ove è stato trasferito in quanto soprannumerario. Il punteggio in questione spetta anche ai docenti comandati in istituti diversi da quello di titolarità su cattedre ove si è attuata la sperimentazione a norma dell’art. 278 del </w:t>
      </w:r>
      <w:proofErr w:type="spellStart"/>
      <w:r>
        <w:rPr>
          <w:rFonts w:ascii="Times New Roman" w:eastAsia="Times New Roman" w:hAnsi="Times New Roman" w:cs="Times New Roman"/>
          <w:color w:val="000000"/>
          <w:sz w:val="18"/>
          <w:szCs w:val="18"/>
        </w:rPr>
        <w:t>D.L.vo</w:t>
      </w:r>
      <w:proofErr w:type="spellEnd"/>
      <w:r>
        <w:rPr>
          <w:rFonts w:ascii="Times New Roman" w:eastAsia="Times New Roman" w:hAnsi="Times New Roman" w:cs="Times New Roman"/>
          <w:color w:val="000000"/>
          <w:sz w:val="18"/>
          <w:szCs w:val="18"/>
        </w:rPr>
        <w:t xml:space="preserve"> n. 297/94, ai docen</w:t>
      </w:r>
      <w:r>
        <w:rPr>
          <w:rFonts w:ascii="Times New Roman" w:eastAsia="Times New Roman" w:hAnsi="Times New Roman" w:cs="Times New Roman"/>
          <w:color w:val="000000"/>
          <w:sz w:val="18"/>
          <w:szCs w:val="18"/>
        </w:rPr>
        <w:t>ti utilizzati a domanda o d’ufficio, sui posti di sostegno anche in scuole o sedi diverse da quella di titolarità, ai docenti della scuola primaria utilizzati come specialisti per la lingua straniera presso il plesso o fuori del plesso di titolarità, ai do</w:t>
      </w:r>
      <w:r>
        <w:rPr>
          <w:rFonts w:ascii="Times New Roman" w:eastAsia="Times New Roman" w:hAnsi="Times New Roman" w:cs="Times New Roman"/>
          <w:color w:val="000000"/>
          <w:sz w:val="18"/>
          <w:szCs w:val="18"/>
        </w:rPr>
        <w:t>centi utilizzati in materie affini ed ai docenti che prestano servizio nelle figure professionali di cui all’art. 5 del D.L. 6.8.1988, n. 323 convertito con modificazioni nella legge 6.10.1988, n. 426. Il punteggio in questione spetta anche ai docenti appa</w:t>
      </w:r>
      <w:r>
        <w:rPr>
          <w:rFonts w:ascii="Times New Roman" w:eastAsia="Times New Roman" w:hAnsi="Times New Roman" w:cs="Times New Roman"/>
          <w:color w:val="000000"/>
          <w:sz w:val="18"/>
          <w:szCs w:val="18"/>
        </w:rPr>
        <w:t xml:space="preserve">rtenenti a posto o classe di concorso in esubero utilizzati a domanda o d’ufficio ai sensi dell’art. 1 del </w:t>
      </w:r>
      <w:proofErr w:type="spellStart"/>
      <w:r>
        <w:rPr>
          <w:rFonts w:ascii="Times New Roman" w:eastAsia="Times New Roman" w:hAnsi="Times New Roman" w:cs="Times New Roman"/>
          <w:color w:val="000000"/>
          <w:sz w:val="18"/>
          <w:szCs w:val="18"/>
        </w:rPr>
        <w:t>D.L.vo</w:t>
      </w:r>
      <w:proofErr w:type="spellEnd"/>
      <w:r>
        <w:rPr>
          <w:rFonts w:ascii="Times New Roman" w:eastAsia="Times New Roman" w:hAnsi="Times New Roman" w:cs="Times New Roman"/>
          <w:color w:val="000000"/>
          <w:sz w:val="18"/>
          <w:szCs w:val="18"/>
        </w:rPr>
        <w:t xml:space="preserve"> n. 35/93, in ruolo o classe di concorso diversi da quelli di titolarità. In ogni caso non deve essere considerata interruzione della continuit</w:t>
      </w:r>
      <w:r>
        <w:rPr>
          <w:rFonts w:ascii="Times New Roman" w:eastAsia="Times New Roman" w:hAnsi="Times New Roman" w:cs="Times New Roman"/>
          <w:color w:val="000000"/>
          <w:sz w:val="18"/>
          <w:szCs w:val="18"/>
        </w:rPr>
        <w:t>à del servizio nella scuola di titolarità la mancata prestazione del servizio per un periodo di durata complessiva inferiore a 6 mesi in ciascun anno scolastico. Il punteggio di cui trattasi non spetta, invece, nel caso di assegnazione provvisoria e di tra</w:t>
      </w:r>
      <w:r>
        <w:rPr>
          <w:rFonts w:ascii="Times New Roman" w:eastAsia="Times New Roman" w:hAnsi="Times New Roman" w:cs="Times New Roman"/>
          <w:color w:val="000000"/>
          <w:sz w:val="18"/>
          <w:szCs w:val="18"/>
        </w:rPr>
        <w:t>sferimento annuale salvo che si tratti di docente trasferito nell’ottennio quale soprannumerario che abbia chiesto, in ciascun anno dell’ottennio medesimo, il rientro nell’istituto di precedente titolarità. Il punteggio va attribuito se la scuola di titola</w:t>
      </w:r>
      <w:r>
        <w:rPr>
          <w:rFonts w:ascii="Times New Roman" w:eastAsia="Times New Roman" w:hAnsi="Times New Roman" w:cs="Times New Roman"/>
          <w:color w:val="000000"/>
          <w:sz w:val="18"/>
          <w:szCs w:val="18"/>
        </w:rPr>
        <w:t>rità giuridica e la scuola in cui l’interessato ha prestato servizio continuativo coincidono per il periodo considerato. Il punteggio va anche attribuito nel caso di diritto al rientro nell’ottennio del personale trasferito in quanto soprannumerario. Per i</w:t>
      </w:r>
      <w:r>
        <w:rPr>
          <w:rFonts w:ascii="Times New Roman" w:eastAsia="Times New Roman" w:hAnsi="Times New Roman" w:cs="Times New Roman"/>
          <w:color w:val="000000"/>
          <w:sz w:val="18"/>
          <w:szCs w:val="18"/>
        </w:rPr>
        <w:t xml:space="preserve"> docenti di istruzione secondaria di I e II grado e artistica il servizio deve essere altresì prestato nella classe di concorso di attuale titolarità. Il punteggio va anche attribuito ai docenti, già titolari sulla classe A075 e transitati sulla classe A07</w:t>
      </w:r>
      <w:r>
        <w:rPr>
          <w:rFonts w:ascii="Times New Roman" w:eastAsia="Times New Roman" w:hAnsi="Times New Roman" w:cs="Times New Roman"/>
          <w:color w:val="000000"/>
          <w:sz w:val="18"/>
          <w:szCs w:val="18"/>
        </w:rPr>
        <w:t>6 in forza della C.M. 215/95, nella sola ipotesi che non sia cambiato l’istituto di titolarità. Non va valutato l’anno scolastico in corso al momento della presentazione della domanda.</w:t>
      </w:r>
    </w:p>
    <w:p w:rsidR="00F9241C" w:rsidRDefault="006E4B77">
      <w:pPr>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lastRenderedPageBreak/>
        <w:t>(5 bis)</w:t>
      </w:r>
      <w:r>
        <w:rPr>
          <w:rFonts w:ascii="Times New Roman" w:eastAsia="Times New Roman" w:hAnsi="Times New Roman" w:cs="Times New Roman"/>
          <w:color w:val="000000"/>
          <w:sz w:val="18"/>
          <w:szCs w:val="18"/>
        </w:rPr>
        <w:t xml:space="preserve"> Ai fini della formazione della graduatoria per l’individuazione</w:t>
      </w:r>
      <w:r>
        <w:rPr>
          <w:rFonts w:ascii="Times New Roman" w:eastAsia="Times New Roman" w:hAnsi="Times New Roman" w:cs="Times New Roman"/>
          <w:color w:val="000000"/>
          <w:sz w:val="18"/>
          <w:szCs w:val="18"/>
        </w:rPr>
        <w:t xml:space="preserve"> del soprannumerario ed ai fini del trasferimento d’ufficio si prescinde dal triennio, fermo restando quanto precisato nella nota 5, la continuità didattica nella scuola di attuale titolarità viene così valutata:</w:t>
      </w:r>
    </w:p>
    <w:p w:rsidR="00F9241C" w:rsidRDefault="006E4B77">
      <w:pPr>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Per ogni anno di servizio di ruolo prestato nella scuola di attuale titolarità o di incarico triennale senza soluzione di continuità in aggiunta a quello previsto dalle lettere A), A1), B), B1), B2) </w:t>
      </w:r>
    </w:p>
    <w:p w:rsidR="00F9241C" w:rsidRDefault="006E4B77">
      <w:pPr>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entro il quinquennio: Punti 2</w:t>
      </w:r>
    </w:p>
    <w:p w:rsidR="00F9241C" w:rsidRDefault="006E4B77">
      <w:pPr>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oltre il quinquenni</w:t>
      </w:r>
      <w:r>
        <w:rPr>
          <w:rFonts w:ascii="Times New Roman" w:eastAsia="Times New Roman" w:hAnsi="Times New Roman" w:cs="Times New Roman"/>
          <w:color w:val="000000"/>
          <w:sz w:val="18"/>
          <w:szCs w:val="18"/>
        </w:rPr>
        <w:t>o: Punti 3</w:t>
      </w:r>
    </w:p>
    <w:p w:rsidR="00F9241C" w:rsidRDefault="006E4B77">
      <w:pPr>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Sempre ai fini della formazione della graduatoria per l’individuazione del soprannumerario ed ai fini del trasferimento d’ufficio, viene valutata anche la continuità di servizio nella comune di attuale titolarità, nella seguente misura:</w:t>
      </w:r>
    </w:p>
    <w:p w:rsidR="00F9241C" w:rsidRDefault="006E4B77">
      <w:pPr>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 0) Per ogni anno di servizio di ruolo prestato nel comune di attuale titolarità o di incarico triennale senza soluzione di continuità in aggiunta a quello previsto dalle lettere A), A1), B), B1), B2): Punti 1</w:t>
      </w:r>
    </w:p>
    <w:p w:rsidR="00F9241C" w:rsidRDefault="006E4B77">
      <w:pPr>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 predetto punteggio va attribuito se la sed</w:t>
      </w:r>
      <w:r>
        <w:rPr>
          <w:rFonts w:ascii="Times New Roman" w:eastAsia="Times New Roman" w:hAnsi="Times New Roman" w:cs="Times New Roman"/>
          <w:color w:val="000000"/>
          <w:sz w:val="18"/>
          <w:szCs w:val="18"/>
        </w:rPr>
        <w:t>e di titolarità giuridica e la sede in cui l’interessato ha prestato servizio continuativo coincidono per il periodo considerato. Il punteggio va anche attribuito nel caso di diritto al rientro nell’ottennio del personale trasferito in quanto soprannumerar</w:t>
      </w:r>
      <w:r>
        <w:rPr>
          <w:rFonts w:ascii="Times New Roman" w:eastAsia="Times New Roman" w:hAnsi="Times New Roman" w:cs="Times New Roman"/>
          <w:color w:val="000000"/>
          <w:sz w:val="18"/>
          <w:szCs w:val="18"/>
        </w:rPr>
        <w:t xml:space="preserve">io. Nei riguardi del personale docente ed educativo soprannumerario trasferito d’ufficio senza aver prodotto domanda o trasferito a domanda condizionata, che abbia richiesto come prima preferenza in ciascun anno dell’ottennio il rientro nella scuola o nel </w:t>
      </w:r>
      <w:r>
        <w:rPr>
          <w:rFonts w:ascii="Times New Roman" w:eastAsia="Times New Roman" w:hAnsi="Times New Roman" w:cs="Times New Roman"/>
          <w:color w:val="000000"/>
          <w:sz w:val="18"/>
          <w:szCs w:val="18"/>
        </w:rPr>
        <w:t xml:space="preserve">comune di precedente titolarità, l’aver ottenuto nel corso dell’ottennio il trasferimento per altre preferenze espresse nella domanda non interrompe la continuità del servizio. Per i docenti il servizio deve essere stato prestato nella stessa tipologia di </w:t>
      </w:r>
      <w:r>
        <w:rPr>
          <w:rFonts w:ascii="Times New Roman" w:eastAsia="Times New Roman" w:hAnsi="Times New Roman" w:cs="Times New Roman"/>
          <w:color w:val="000000"/>
          <w:sz w:val="18"/>
          <w:szCs w:val="18"/>
        </w:rPr>
        <w:t>posto (comune o sostegno) e per la scuola di istruzione secondaria di primo e secondo grado e artistica, il servizio deve essere altresì prestato nella stessa classe di concorso di attuale titolarità. Il trasferimento dal sostegno a posto comune o vicevers</w:t>
      </w:r>
      <w:r>
        <w:rPr>
          <w:rFonts w:ascii="Times New Roman" w:eastAsia="Times New Roman" w:hAnsi="Times New Roman" w:cs="Times New Roman"/>
          <w:color w:val="000000"/>
          <w:sz w:val="18"/>
          <w:szCs w:val="18"/>
        </w:rPr>
        <w:t>a interrompe la continuità di servizio nella scuola e nel comune. Il punteggio non va attribuito ai docenti che siano stati titolari di sede distrettuale (su posto per l’istruzione dell’età adulta). Qualora il docente al termine dell’ottennio non sia rient</w:t>
      </w:r>
      <w:r>
        <w:rPr>
          <w:rFonts w:ascii="Times New Roman" w:eastAsia="Times New Roman" w:hAnsi="Times New Roman" w:cs="Times New Roman"/>
          <w:color w:val="000000"/>
          <w:sz w:val="18"/>
          <w:szCs w:val="18"/>
        </w:rPr>
        <w:t xml:space="preserve">rato nella scuola di precedente titolarità ma in altra scuola dello stesso comune, ha titolo al mantenimento del punteggio di cui alla </w:t>
      </w:r>
      <w:proofErr w:type="spellStart"/>
      <w:r>
        <w:rPr>
          <w:rFonts w:ascii="Times New Roman" w:eastAsia="Times New Roman" w:hAnsi="Times New Roman" w:cs="Times New Roman"/>
          <w:color w:val="000000"/>
          <w:sz w:val="18"/>
          <w:szCs w:val="18"/>
        </w:rPr>
        <w:t>lett</w:t>
      </w:r>
      <w:proofErr w:type="spellEnd"/>
      <w:r>
        <w:rPr>
          <w:rFonts w:ascii="Times New Roman" w:eastAsia="Times New Roman" w:hAnsi="Times New Roman" w:cs="Times New Roman"/>
          <w:color w:val="000000"/>
          <w:sz w:val="18"/>
          <w:szCs w:val="18"/>
        </w:rPr>
        <w:t>. C 0) anche per tutti gli 8 anni dell’ottennio. Non va valutato l’anno scolastico in corso al momento di presentazio</w:t>
      </w:r>
      <w:r>
        <w:rPr>
          <w:rFonts w:ascii="Times New Roman" w:eastAsia="Times New Roman" w:hAnsi="Times New Roman" w:cs="Times New Roman"/>
          <w:color w:val="000000"/>
          <w:sz w:val="18"/>
          <w:szCs w:val="18"/>
        </w:rPr>
        <w:t>ne della domanda. Il punteggio di cui alla lettera C 0) non è cumulabile per lo stesso anno scolastico con quello previsto dalla lettera C).</w:t>
      </w:r>
    </w:p>
    <w:p w:rsidR="00F9241C" w:rsidRDefault="006E4B77">
      <w:pPr>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(5 ter)</w:t>
      </w:r>
      <w:r>
        <w:rPr>
          <w:rFonts w:ascii="Times New Roman" w:eastAsia="Times New Roman" w:hAnsi="Times New Roman" w:cs="Times New Roman"/>
          <w:color w:val="000000"/>
          <w:sz w:val="18"/>
          <w:szCs w:val="18"/>
        </w:rPr>
        <w:t xml:space="preserve"> Il diritto all’attribuzione del punteggio deve essere attestato con apposita dichiarazione personale, nella</w:t>
      </w:r>
      <w:r>
        <w:rPr>
          <w:rFonts w:ascii="Times New Roman" w:eastAsia="Times New Roman" w:hAnsi="Times New Roman" w:cs="Times New Roman"/>
          <w:color w:val="000000"/>
          <w:sz w:val="18"/>
          <w:szCs w:val="18"/>
        </w:rPr>
        <w:t xml:space="preserve"> quale si elencano gli anni in cui non si è presentata la domanda di mobilità volontaria in ambito provinciale alle condizioni previste nelle Tabelle di cui sopra. Ai fini della maturazione una tantum del punteggio è utile un triennio compreso nel periodo </w:t>
      </w:r>
      <w:r>
        <w:rPr>
          <w:rFonts w:ascii="Times New Roman" w:eastAsia="Times New Roman" w:hAnsi="Times New Roman" w:cs="Times New Roman"/>
          <w:color w:val="000000"/>
          <w:sz w:val="18"/>
          <w:szCs w:val="18"/>
        </w:rPr>
        <w:t>intercorrente tra le domande di mobilità per l’anno scolastico 2000-2001 e quelle per l’anno scolastico 2007-2008. Con le domande di mobilità per l’anno scolastico 2007/2008 si è, infatti, concluso il periodo utile per l’acquisizione del punteggio aggiunti</w:t>
      </w:r>
      <w:r>
        <w:rPr>
          <w:rFonts w:ascii="Times New Roman" w:eastAsia="Times New Roman" w:hAnsi="Times New Roman" w:cs="Times New Roman"/>
          <w:color w:val="000000"/>
          <w:sz w:val="18"/>
          <w:szCs w:val="18"/>
        </w:rPr>
        <w:t xml:space="preserve">vo a seguito della maturazione del triennio. Le condizioni previste alla </w:t>
      </w:r>
      <w:proofErr w:type="spellStart"/>
      <w:r>
        <w:rPr>
          <w:rFonts w:ascii="Times New Roman" w:eastAsia="Times New Roman" w:hAnsi="Times New Roman" w:cs="Times New Roman"/>
          <w:color w:val="000000"/>
          <w:sz w:val="18"/>
          <w:szCs w:val="18"/>
        </w:rPr>
        <w:t>lett</w:t>
      </w:r>
      <w:proofErr w:type="spellEnd"/>
      <w:r>
        <w:rPr>
          <w:rFonts w:ascii="Times New Roman" w:eastAsia="Times New Roman" w:hAnsi="Times New Roman" w:cs="Times New Roman"/>
          <w:color w:val="000000"/>
          <w:sz w:val="18"/>
          <w:szCs w:val="18"/>
        </w:rPr>
        <w:t>. D) titolo I della Tabella, si sono concretizzate se nel periodo indicato è stato prestato servizio nella stessa scuola, per non meno di 4 anni consecutivi: l’anno di arrivo, più</w:t>
      </w:r>
      <w:r>
        <w:rPr>
          <w:rFonts w:ascii="Times New Roman" w:eastAsia="Times New Roman" w:hAnsi="Times New Roman" w:cs="Times New Roman"/>
          <w:color w:val="000000"/>
          <w:sz w:val="18"/>
          <w:szCs w:val="18"/>
        </w:rPr>
        <w:t xml:space="preserve"> i successivi 3 anni in cui non è stata presentata domanda di mobilità volontaria in ambito provinciale. Le condizioni si sono realizzate anche se si è ottenuto, nel periodo appena considerato, un trasferimento in diversa provincia. Tale punteggio viene, i</w:t>
      </w:r>
      <w:r>
        <w:rPr>
          <w:rFonts w:ascii="Times New Roman" w:eastAsia="Times New Roman" w:hAnsi="Times New Roman" w:cs="Times New Roman"/>
          <w:color w:val="000000"/>
          <w:sz w:val="18"/>
          <w:szCs w:val="18"/>
        </w:rPr>
        <w:t>noltre, riconosciuto anche a coloro che, nel suddetto periodo, hanno presentato in ambito provinciale:</w:t>
      </w:r>
    </w:p>
    <w:p w:rsidR="00F9241C" w:rsidRDefault="006E4B77">
      <w:pPr>
        <w:pBdr>
          <w:top w:val="nil"/>
          <w:left w:val="nil"/>
          <w:bottom w:val="nil"/>
          <w:right w:val="nil"/>
          <w:between w:val="nil"/>
        </w:pBdr>
        <w:tabs>
          <w:tab w:val="left" w:pos="900"/>
        </w:tabs>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domanda condizionata di trasferimento, in quanto individuati soprannumerari;</w:t>
      </w:r>
    </w:p>
    <w:p w:rsidR="00F9241C" w:rsidRDefault="006E4B77">
      <w:pPr>
        <w:pBdr>
          <w:top w:val="nil"/>
          <w:left w:val="nil"/>
          <w:bottom w:val="nil"/>
          <w:right w:val="nil"/>
          <w:between w:val="nil"/>
        </w:pBdr>
        <w:tabs>
          <w:tab w:val="left" w:pos="900"/>
        </w:tabs>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domanda di trasferimento per la scuola primaria tra i posti comune e lin</w:t>
      </w:r>
      <w:r>
        <w:rPr>
          <w:rFonts w:ascii="Times New Roman" w:eastAsia="Times New Roman" w:hAnsi="Times New Roman" w:cs="Times New Roman"/>
          <w:color w:val="000000"/>
          <w:sz w:val="18"/>
          <w:szCs w:val="18"/>
        </w:rPr>
        <w:t>gua straniera nell’organico dello stesso circolo di titolarità;</w:t>
      </w:r>
    </w:p>
    <w:p w:rsidR="00F9241C" w:rsidRDefault="006E4B77">
      <w:pPr>
        <w:pBdr>
          <w:top w:val="nil"/>
          <w:left w:val="nil"/>
          <w:bottom w:val="nil"/>
          <w:right w:val="nil"/>
          <w:between w:val="nil"/>
        </w:pBdr>
        <w:tabs>
          <w:tab w:val="left" w:pos="900"/>
        </w:tabs>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domanda di rientro nella scuola di precedente titolarità, nel quinquennio di fruizione del diritto alla precedenza di cui ai punti II e V dell’art. 13, comma 1 del CCNI.</w:t>
      </w:r>
    </w:p>
    <w:p w:rsidR="00F9241C" w:rsidRDefault="006E4B77">
      <w:pPr>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Tale punteggio, una </w:t>
      </w:r>
      <w:r>
        <w:rPr>
          <w:rFonts w:ascii="Times New Roman" w:eastAsia="Times New Roman" w:hAnsi="Times New Roman" w:cs="Times New Roman"/>
          <w:color w:val="000000"/>
          <w:sz w:val="18"/>
          <w:szCs w:val="18"/>
        </w:rPr>
        <w:t>volta acquisito, si perde esclusivamente nel caso in cui si ottenga, a seguito di domanda volontaria in ambito provinciale, il trasferimento, il passaggio o l’assegnazione provvisoria. Nei riguardi del personale docente ed educativo individuato soprannumer</w:t>
      </w:r>
      <w:r>
        <w:rPr>
          <w:rFonts w:ascii="Times New Roman" w:eastAsia="Times New Roman" w:hAnsi="Times New Roman" w:cs="Times New Roman"/>
          <w:color w:val="000000"/>
          <w:sz w:val="18"/>
          <w:szCs w:val="18"/>
        </w:rPr>
        <w:t>ario e trasferito d’ufficio senza aver prodotto domanda o trasferito a domanda condizionata, non fa perdere il riconoscimento del punteggio aggiuntivo l’aver ottenuto nel corso del periodo di fruizione del diritto alla precedenza di cui ai punti II e V del</w:t>
      </w:r>
      <w:r>
        <w:rPr>
          <w:rFonts w:ascii="Times New Roman" w:eastAsia="Times New Roman" w:hAnsi="Times New Roman" w:cs="Times New Roman"/>
          <w:color w:val="000000"/>
          <w:sz w:val="18"/>
          <w:szCs w:val="18"/>
        </w:rPr>
        <w:t>l’art. 13, comma 1 del CCNI, il rientro nella scuola o nel comune di precedente titolarità, il trasferimento per altre preferenze espresse nella domanda o l’assegnazione provvisoria. Analogamente non perde il riconoscimento del punteggio aggiuntivo il doce</w:t>
      </w:r>
      <w:r>
        <w:rPr>
          <w:rFonts w:ascii="Times New Roman" w:eastAsia="Times New Roman" w:hAnsi="Times New Roman" w:cs="Times New Roman"/>
          <w:color w:val="000000"/>
          <w:sz w:val="18"/>
          <w:szCs w:val="18"/>
        </w:rPr>
        <w:t>nte trasferito d’ufficio o a domanda condizionata che nel periodo di cui sopra non chiede il rientro nella scuola di precedente titolarità. In ogni caso la sola presentazione della domanda di mobilità, anche nella provincia, non determina la perdita del pu</w:t>
      </w:r>
      <w:r>
        <w:rPr>
          <w:rFonts w:ascii="Times New Roman" w:eastAsia="Times New Roman" w:hAnsi="Times New Roman" w:cs="Times New Roman"/>
          <w:color w:val="000000"/>
          <w:sz w:val="18"/>
          <w:szCs w:val="18"/>
        </w:rPr>
        <w:t>nteggio aggiuntivo una volta che lo stesso è stato acquisito.</w:t>
      </w:r>
    </w:p>
    <w:p w:rsidR="00F9241C" w:rsidRDefault="006E4B77">
      <w:pPr>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(6)</w:t>
      </w:r>
      <w:r>
        <w:rPr>
          <w:rFonts w:ascii="Times New Roman" w:eastAsia="Times New Roman" w:hAnsi="Times New Roman" w:cs="Times New Roman"/>
          <w:color w:val="000000"/>
          <w:sz w:val="18"/>
          <w:szCs w:val="18"/>
        </w:rPr>
        <w:t xml:space="preserve"> Il punteggio spetta per il comune di residenza dei familiari a condizione che essi, alla data di pubblicazione dell’ordinanza, vi risiedano effettivamente con iscrizione anagrafica da almeno</w:t>
      </w:r>
      <w:r>
        <w:rPr>
          <w:rFonts w:ascii="Times New Roman" w:eastAsia="Times New Roman" w:hAnsi="Times New Roman" w:cs="Times New Roman"/>
          <w:color w:val="000000"/>
          <w:sz w:val="18"/>
          <w:szCs w:val="18"/>
        </w:rPr>
        <w:t xml:space="preserve"> tre mesi. La residenza del familiare a cui si chiede il ricongiungimento deve essere documentata con dichiarazione personale redatta ai sensi delle disposizioni contenute nel D.P.R. 28.12.2000, n. 445 e successive modifiche ed integrazioni nei quali dovrà</w:t>
      </w:r>
      <w:r>
        <w:rPr>
          <w:rFonts w:ascii="Times New Roman" w:eastAsia="Times New Roman" w:hAnsi="Times New Roman" w:cs="Times New Roman"/>
          <w:color w:val="000000"/>
          <w:sz w:val="18"/>
          <w:szCs w:val="18"/>
        </w:rPr>
        <w:t xml:space="preserve"> essere indicata la decorrenza dell’iscrizione stessa; dall’iscrizione anagrafica si prescinde quando si tratti di ricongiungimento al familiare trasferito per servizio nei tre mesi antecedenti alla data di pubblicazione dell’ordinanza. Il punteggio di ric</w:t>
      </w:r>
      <w:r>
        <w:rPr>
          <w:rFonts w:ascii="Times New Roman" w:eastAsia="Times New Roman" w:hAnsi="Times New Roman" w:cs="Times New Roman"/>
          <w:color w:val="000000"/>
          <w:sz w:val="18"/>
          <w:szCs w:val="18"/>
        </w:rPr>
        <w:t>ongiungimento e quello per la cura e l’assistenza dei familiari spetta per le scuole del comune o per l’ambito o gli ambiti che comprendono il comune anche se coincidenti con la titolarità di scuola o ambito. Il punteggio spetta</w:t>
      </w:r>
      <w:r>
        <w:rPr>
          <w:rFonts w:ascii="Times New Roman" w:eastAsia="Times New Roman" w:hAnsi="Times New Roman" w:cs="Times New Roman"/>
          <w:strike/>
          <w:color w:val="000000"/>
          <w:sz w:val="18"/>
          <w:szCs w:val="18"/>
        </w:rPr>
        <w:t>no</w:t>
      </w:r>
      <w:r>
        <w:rPr>
          <w:rFonts w:ascii="Times New Roman" w:eastAsia="Times New Roman" w:hAnsi="Times New Roman" w:cs="Times New Roman"/>
          <w:color w:val="000000"/>
          <w:sz w:val="18"/>
          <w:szCs w:val="18"/>
        </w:rPr>
        <w:t xml:space="preserve"> anche nel caso in cui nel</w:t>
      </w:r>
      <w:r>
        <w:rPr>
          <w:rFonts w:ascii="Times New Roman" w:eastAsia="Times New Roman" w:hAnsi="Times New Roman" w:cs="Times New Roman"/>
          <w:color w:val="000000"/>
          <w:sz w:val="18"/>
          <w:szCs w:val="18"/>
        </w:rPr>
        <w:t xml:space="preserve"> comune ove si registra l’esigenza familiare non vi siano istituzioni scolastiche richiedibili (cioè che non comprendano l’insegnamento del richiedente o sedi di organico) ovvero per il personale educativo, istituzioni educative richiedibili: in tal caso i</w:t>
      </w:r>
      <w:r>
        <w:rPr>
          <w:rFonts w:ascii="Times New Roman" w:eastAsia="Times New Roman" w:hAnsi="Times New Roman" w:cs="Times New Roman"/>
          <w:color w:val="000000"/>
          <w:sz w:val="18"/>
          <w:szCs w:val="18"/>
        </w:rPr>
        <w:t xml:space="preserve">l punteggio sarà attribuito per tutte le scuole ovvero istituzioni educative del comune più vicino, secondo le tabelle di </w:t>
      </w:r>
      <w:proofErr w:type="spellStart"/>
      <w:r>
        <w:rPr>
          <w:rFonts w:ascii="Times New Roman" w:eastAsia="Times New Roman" w:hAnsi="Times New Roman" w:cs="Times New Roman"/>
          <w:color w:val="000000"/>
          <w:sz w:val="18"/>
          <w:szCs w:val="18"/>
        </w:rPr>
        <w:t>viciniorietà</w:t>
      </w:r>
      <w:proofErr w:type="spellEnd"/>
      <w:r>
        <w:rPr>
          <w:rFonts w:ascii="Times New Roman" w:eastAsia="Times New Roman" w:hAnsi="Times New Roman" w:cs="Times New Roman"/>
          <w:color w:val="000000"/>
          <w:sz w:val="18"/>
          <w:szCs w:val="18"/>
        </w:rPr>
        <w:t xml:space="preserve">, oppure per il comune sede dell’istituzione scolastica che abbia un plesso nel comune di residenza del familiare, ovvero </w:t>
      </w:r>
      <w:r>
        <w:rPr>
          <w:rFonts w:ascii="Times New Roman" w:eastAsia="Times New Roman" w:hAnsi="Times New Roman" w:cs="Times New Roman"/>
          <w:color w:val="000000"/>
          <w:sz w:val="18"/>
          <w:szCs w:val="18"/>
        </w:rPr>
        <w:t>nel comune per il quale sussistono le condizioni di cui alla lettera D della Tabella a - Parte II, purché indicate fra le preferenze espresse; tale punteggio sarà attribuito anche nel caso in cui venga indicata dall’interessato una preferenza di ambito che</w:t>
      </w:r>
      <w:r>
        <w:rPr>
          <w:rFonts w:ascii="Times New Roman" w:eastAsia="Times New Roman" w:hAnsi="Times New Roman" w:cs="Times New Roman"/>
          <w:color w:val="000000"/>
          <w:sz w:val="18"/>
          <w:szCs w:val="18"/>
        </w:rPr>
        <w:t xml:space="preserve"> comprenda predetto comune. I punteggi per le esigenze di famiglia di cui alle lettere A), B), C), D) sono cumulabili fra loro. Ai sensi della legge 76 del 20 maggio 2016 per coniuge si intende anche la parte dell’unione civile. </w:t>
      </w:r>
    </w:p>
    <w:p w:rsidR="00F9241C" w:rsidRDefault="006E4B77">
      <w:pPr>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(7)</w:t>
      </w:r>
      <w:r>
        <w:rPr>
          <w:rFonts w:ascii="Times New Roman" w:eastAsia="Times New Roman" w:hAnsi="Times New Roman" w:cs="Times New Roman"/>
          <w:color w:val="000000"/>
          <w:sz w:val="18"/>
          <w:szCs w:val="18"/>
        </w:rPr>
        <w:t xml:space="preserve"> Ai fini della formulaz</w:t>
      </w:r>
      <w:r>
        <w:rPr>
          <w:rFonts w:ascii="Times New Roman" w:eastAsia="Times New Roman" w:hAnsi="Times New Roman" w:cs="Times New Roman"/>
          <w:color w:val="000000"/>
          <w:sz w:val="18"/>
          <w:szCs w:val="18"/>
        </w:rPr>
        <w:t>ione della graduatoria per l’individuazione del soprannumerario, le esigenze di famiglia, da considerarsi in questo caso come esigenze di non allontanamento dalla scuola e dal comune di attuale titolarità o di incarico triennale, sono valutate nella seguen</w:t>
      </w:r>
      <w:r>
        <w:rPr>
          <w:rFonts w:ascii="Times New Roman" w:eastAsia="Times New Roman" w:hAnsi="Times New Roman" w:cs="Times New Roman"/>
          <w:color w:val="000000"/>
          <w:sz w:val="18"/>
          <w:szCs w:val="18"/>
        </w:rPr>
        <w:t>te maniera:</w:t>
      </w:r>
    </w:p>
    <w:p w:rsidR="00F9241C" w:rsidRDefault="006E4B77">
      <w:pPr>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u w:val="single"/>
        </w:rPr>
        <w:t>lettera A)</w:t>
      </w:r>
      <w:r>
        <w:rPr>
          <w:rFonts w:ascii="Times New Roman" w:eastAsia="Times New Roman" w:hAnsi="Times New Roman" w:cs="Times New Roman"/>
          <w:color w:val="000000"/>
          <w:sz w:val="18"/>
          <w:szCs w:val="18"/>
        </w:rPr>
        <w:t xml:space="preserve"> (ricongiungimento al coniuge, etc..) vale quando il familiare è residente nel comune di titolarità del docente. Tale punteggio spetta anche nel caso in cui nel comune di ricongiungimento non vi siano istituzioni scolastiche richiedibili (cioè che non comp</w:t>
      </w:r>
      <w:r>
        <w:rPr>
          <w:rFonts w:ascii="Times New Roman" w:eastAsia="Times New Roman" w:hAnsi="Times New Roman" w:cs="Times New Roman"/>
          <w:color w:val="000000"/>
          <w:sz w:val="18"/>
          <w:szCs w:val="18"/>
        </w:rPr>
        <w:t xml:space="preserve">rendano l’insegnamento del richiedente) e lo stesso risulti viciniore alla sede di titolarità. Qualora il comune di residenza del </w:t>
      </w:r>
      <w:r>
        <w:rPr>
          <w:rFonts w:ascii="Times New Roman" w:eastAsia="Times New Roman" w:hAnsi="Times New Roman" w:cs="Times New Roman"/>
          <w:color w:val="000000"/>
          <w:sz w:val="18"/>
          <w:szCs w:val="18"/>
        </w:rPr>
        <w:lastRenderedPageBreak/>
        <w:t>familiare, ovvero il comune per il quale sussistono le condizioni di cui alla lettera D della Tabella a - Parte II, non sia se</w:t>
      </w:r>
      <w:r>
        <w:rPr>
          <w:rFonts w:ascii="Times New Roman" w:eastAsia="Times New Roman" w:hAnsi="Times New Roman" w:cs="Times New Roman"/>
          <w:color w:val="000000"/>
          <w:sz w:val="18"/>
          <w:szCs w:val="18"/>
        </w:rPr>
        <w:t xml:space="preserve">de di organico il punteggio va attribuito per il comune sede dell’istituzione scolastica che abbia un plesso nel comune di residenza del familiare, ovvero nel comune per il quale sussistono le condizioni di cui alla lettera D della Tabella a - Parte II. </w:t>
      </w:r>
    </w:p>
    <w:p w:rsidR="00F9241C" w:rsidRDefault="006E4B77">
      <w:pPr>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u w:val="single"/>
        </w:rPr>
        <w:t>l</w:t>
      </w:r>
      <w:r>
        <w:rPr>
          <w:rFonts w:ascii="Times New Roman" w:eastAsia="Times New Roman" w:hAnsi="Times New Roman" w:cs="Times New Roman"/>
          <w:color w:val="000000"/>
          <w:sz w:val="18"/>
          <w:szCs w:val="18"/>
          <w:u w:val="single"/>
        </w:rPr>
        <w:t>ettera B) e lettera C)</w:t>
      </w:r>
      <w:r>
        <w:rPr>
          <w:rFonts w:ascii="Times New Roman" w:eastAsia="Times New Roman" w:hAnsi="Times New Roman" w:cs="Times New Roman"/>
          <w:color w:val="000000"/>
          <w:sz w:val="18"/>
          <w:szCs w:val="18"/>
        </w:rPr>
        <w:t xml:space="preserve"> valgono sempre; </w:t>
      </w:r>
    </w:p>
    <w:p w:rsidR="00F9241C" w:rsidRDefault="006E4B77">
      <w:pPr>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u w:val="single"/>
        </w:rPr>
        <w:t>lettera D)</w:t>
      </w:r>
      <w:r>
        <w:rPr>
          <w:rFonts w:ascii="Times New Roman" w:eastAsia="Times New Roman" w:hAnsi="Times New Roman" w:cs="Times New Roman"/>
          <w:color w:val="000000"/>
          <w:sz w:val="18"/>
          <w:szCs w:val="18"/>
        </w:rPr>
        <w:t xml:space="preserve"> (cura e assistenza dei figli minorati, etc..) vale quando il comune in cui può essere prestata l’assistenza coincide con il comune di titolarità del docente oppure è ad esso viciniore, qualora nel comune m</w:t>
      </w:r>
      <w:r>
        <w:rPr>
          <w:rFonts w:ascii="Times New Roman" w:eastAsia="Times New Roman" w:hAnsi="Times New Roman" w:cs="Times New Roman"/>
          <w:color w:val="000000"/>
          <w:sz w:val="18"/>
          <w:szCs w:val="18"/>
        </w:rPr>
        <w:t>edesimo non vi siano sedi scolastiche richiedibili.</w:t>
      </w:r>
    </w:p>
    <w:p w:rsidR="00F9241C" w:rsidRDefault="006E4B77">
      <w:pPr>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punteggio così calcolato viene utilizzato anche nelle operazioni di trasferimento d’ufficio del soprannumerario. </w:t>
      </w:r>
    </w:p>
    <w:p w:rsidR="00F9241C" w:rsidRDefault="006E4B77">
      <w:pPr>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(8)</w:t>
      </w:r>
      <w:r>
        <w:rPr>
          <w:rFonts w:ascii="Times New Roman" w:eastAsia="Times New Roman" w:hAnsi="Times New Roman" w:cs="Times New Roman"/>
          <w:color w:val="000000"/>
          <w:sz w:val="18"/>
          <w:szCs w:val="18"/>
        </w:rPr>
        <w:t xml:space="preserve"> Il punteggio va attribuito anche per i figli che compiono i sei anni o i diciotto t</w:t>
      </w:r>
      <w:r>
        <w:rPr>
          <w:rFonts w:ascii="Times New Roman" w:eastAsia="Times New Roman" w:hAnsi="Times New Roman" w:cs="Times New Roman"/>
          <w:color w:val="000000"/>
          <w:sz w:val="18"/>
          <w:szCs w:val="18"/>
        </w:rPr>
        <w:t>ra il 1 gennaio e il 31 dicembre dell’anno in cui si effettua il trasferimento.</w:t>
      </w:r>
    </w:p>
    <w:p w:rsidR="00F9241C" w:rsidRDefault="006E4B77">
      <w:pPr>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(9)</w:t>
      </w:r>
      <w:r>
        <w:rPr>
          <w:rFonts w:ascii="Times New Roman" w:eastAsia="Times New Roman" w:hAnsi="Times New Roman" w:cs="Times New Roman"/>
          <w:color w:val="000000"/>
          <w:sz w:val="18"/>
          <w:szCs w:val="18"/>
        </w:rPr>
        <w:t xml:space="preserve"> La valutazione è attribuita nei seguenti casi: a) figlio minorato, ovvero coniuge o parte dell’unione civile o genitore, ricoverati permanentemente in un istituto di cura; </w:t>
      </w:r>
      <w:r>
        <w:rPr>
          <w:rFonts w:ascii="Times New Roman" w:eastAsia="Times New Roman" w:hAnsi="Times New Roman" w:cs="Times New Roman"/>
          <w:color w:val="000000"/>
          <w:sz w:val="18"/>
          <w:szCs w:val="18"/>
        </w:rPr>
        <w:t>b) figlio minorato, ovvero coniuge o parte dell’unione civile o genitore bisognosi di cure continuative presso un istituto di cura tali da comportare di necessità la residenza nella sede dello istituto medesimo. c) figlio tossicodipendente sottoposto ad un</w:t>
      </w:r>
      <w:r>
        <w:rPr>
          <w:rFonts w:ascii="Times New Roman" w:eastAsia="Times New Roman" w:hAnsi="Times New Roman" w:cs="Times New Roman"/>
          <w:color w:val="000000"/>
          <w:sz w:val="18"/>
          <w:szCs w:val="18"/>
        </w:rPr>
        <w:t xml:space="preserve"> programma terapeutico e socio-riabilitativo da attuare presso le strutture pubbliche o private, di cui agli artt.114, 118 e 122, D.P.R. 9/10/1990, n. 309, programma che comporti di necessità il domicilio nella sede della struttura stessa, ovvero, presso l</w:t>
      </w:r>
      <w:r>
        <w:rPr>
          <w:rFonts w:ascii="Times New Roman" w:eastAsia="Times New Roman" w:hAnsi="Times New Roman" w:cs="Times New Roman"/>
          <w:color w:val="000000"/>
          <w:sz w:val="18"/>
          <w:szCs w:val="18"/>
        </w:rPr>
        <w:t>a residenza abituale con l’assistenza del medico di fiducia come previsto dall’art. 122, comma 3, citato D.P.R. n. 309/1990.</w:t>
      </w:r>
    </w:p>
    <w:p w:rsidR="00F9241C" w:rsidRDefault="006E4B77">
      <w:pPr>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(10)</w:t>
      </w:r>
      <w:r>
        <w:rPr>
          <w:rFonts w:ascii="Times New Roman" w:eastAsia="Times New Roman" w:hAnsi="Times New Roman" w:cs="Times New Roman"/>
          <w:color w:val="000000"/>
          <w:sz w:val="18"/>
          <w:szCs w:val="18"/>
        </w:rPr>
        <w:t xml:space="preserve"> Si precisa che ai sensi della lettera B) si valuta un solo pubblico concorso. È equiparata all’inclusione in graduatoria di me</w:t>
      </w:r>
      <w:r>
        <w:rPr>
          <w:rFonts w:ascii="Times New Roman" w:eastAsia="Times New Roman" w:hAnsi="Times New Roman" w:cs="Times New Roman"/>
          <w:color w:val="000000"/>
          <w:sz w:val="18"/>
          <w:szCs w:val="18"/>
        </w:rPr>
        <w:t>rito l’inclusione in terne di concorsi a cattedre negli istituti di istruzione artistica. Si precisa che i concorsi ordinari a posti della scuola dell’infanzia non sono valutabili nell’ambito della scuola primaria, così come, i concorsi ordinari a posti de</w:t>
      </w:r>
      <w:r>
        <w:rPr>
          <w:rFonts w:ascii="Times New Roman" w:eastAsia="Times New Roman" w:hAnsi="Times New Roman" w:cs="Times New Roman"/>
          <w:color w:val="000000"/>
          <w:sz w:val="18"/>
          <w:szCs w:val="18"/>
        </w:rPr>
        <w:t>lla scuola secondaria di I grado non sono valutabili nell’ambito degli istituti della secondaria di II grado ed artistica; analogamente i concorsi ordinari a posti di insegnante diplomato nella scuola secondaria di II grado sono valutabili esclusivamente n</w:t>
      </w:r>
      <w:r>
        <w:rPr>
          <w:rFonts w:ascii="Times New Roman" w:eastAsia="Times New Roman" w:hAnsi="Times New Roman" w:cs="Times New Roman"/>
          <w:color w:val="000000"/>
          <w:sz w:val="18"/>
          <w:szCs w:val="18"/>
        </w:rPr>
        <w:t>ell’ambito del ruolo dei docenti diplomati. I concorsi ordinari a posti di personale educativo sono da considerare di livello pari ai concorsi della scuola primaria. I concorsi a posti di personale ispettivo e dirigente scolastico sono da considerare di li</w:t>
      </w:r>
      <w:r>
        <w:rPr>
          <w:rFonts w:ascii="Times New Roman" w:eastAsia="Times New Roman" w:hAnsi="Times New Roman" w:cs="Times New Roman"/>
          <w:color w:val="000000"/>
          <w:sz w:val="18"/>
          <w:szCs w:val="18"/>
        </w:rPr>
        <w:t>vello superiore rispetto ai concorsi a posti di insegnamento.</w:t>
      </w:r>
      <w:r>
        <w:rPr>
          <w:rFonts w:ascii="Times New Roman" w:eastAsia="Times New Roman" w:hAnsi="Times New Roman" w:cs="Times New Roman"/>
          <w:i/>
          <w:color w:val="000000"/>
          <w:sz w:val="18"/>
          <w:szCs w:val="18"/>
        </w:rPr>
        <w:t xml:space="preserve"> </w:t>
      </w:r>
      <w:r>
        <w:rPr>
          <w:rFonts w:ascii="Times New Roman" w:eastAsia="Times New Roman" w:hAnsi="Times New Roman" w:cs="Times New Roman"/>
          <w:color w:val="000000"/>
          <w:sz w:val="18"/>
          <w:szCs w:val="18"/>
        </w:rPr>
        <w:t xml:space="preserve">A norma dell’art. 16, ultimo comma, del D.L. 30.1.76, n. 13, convertito con modificazioni nella l. 30/3/76, n. 88 il concorso a cattedre di educazione fisica, indetto con il D.M. 5/5/73 - i cui </w:t>
      </w:r>
      <w:r>
        <w:rPr>
          <w:rFonts w:ascii="Times New Roman" w:eastAsia="Times New Roman" w:hAnsi="Times New Roman" w:cs="Times New Roman"/>
          <w:color w:val="000000"/>
          <w:sz w:val="18"/>
          <w:szCs w:val="18"/>
        </w:rPr>
        <w:t>atti sono stati approvati con D.M. 28/2/80 - è valevole esclusivamente per cattedre nella scuola secondaria di primo grado. Sono ovviamente esclusi i concorsi riservati per il conseguimento dell’abilitazione o dell’idoneità all’insegnamento e la partecipaz</w:t>
      </w:r>
      <w:r>
        <w:rPr>
          <w:rFonts w:ascii="Times New Roman" w:eastAsia="Times New Roman" w:hAnsi="Times New Roman" w:cs="Times New Roman"/>
          <w:color w:val="000000"/>
          <w:sz w:val="18"/>
          <w:szCs w:val="18"/>
        </w:rPr>
        <w:t>ione a concorsi ordinari ai soli fini del conseguimento dell’abilitazione. Ai sensi dell’art. 5 del D.M. 5 maggio 1973, sono esclusi coloro che hanno conseguito la sola abilitazione riportando un punteggio inferiore a 52,50/75 nei concorsi ordinari per l’a</w:t>
      </w:r>
      <w:r>
        <w:rPr>
          <w:rFonts w:ascii="Times New Roman" w:eastAsia="Times New Roman" w:hAnsi="Times New Roman" w:cs="Times New Roman"/>
          <w:color w:val="000000"/>
          <w:sz w:val="18"/>
          <w:szCs w:val="18"/>
        </w:rPr>
        <w:t>ccesso a posti e cattedre nella scuola banditi antecedentemente alla legge 270/82. Tale punteggio spetta anche per l’accesso a tutte le classi di concorso appartenenti allo stesso ambito disciplinare per il quale si è conseguita l’idoneità in un concorso o</w:t>
      </w:r>
      <w:r>
        <w:rPr>
          <w:rFonts w:ascii="Times New Roman" w:eastAsia="Times New Roman" w:hAnsi="Times New Roman" w:cs="Times New Roman"/>
          <w:color w:val="000000"/>
          <w:sz w:val="18"/>
          <w:szCs w:val="18"/>
        </w:rPr>
        <w:t>rdinario per esami e titoli bandito in attuazione della legge 124/1999.</w:t>
      </w:r>
    </w:p>
    <w:p w:rsidR="00F9241C" w:rsidRDefault="006E4B77">
      <w:pPr>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(11)</w:t>
      </w:r>
      <w:r>
        <w:rPr>
          <w:rFonts w:ascii="Times New Roman" w:eastAsia="Times New Roman" w:hAnsi="Times New Roman" w:cs="Times New Roman"/>
          <w:color w:val="000000"/>
          <w:sz w:val="18"/>
          <w:szCs w:val="18"/>
        </w:rPr>
        <w:t xml:space="preserve"> Il punteggio va attribuito al personale in possesso di laurea. Vanno riconosciuti oltre ai corsi previsti dagli statuti delle università (art. 6 legge n. 341/90), ovvero attivati con provvedimento rettorale presso le scuole di specializzazione di cui al D</w:t>
      </w:r>
      <w:r>
        <w:rPr>
          <w:rFonts w:ascii="Times New Roman" w:eastAsia="Times New Roman" w:hAnsi="Times New Roman" w:cs="Times New Roman"/>
          <w:color w:val="000000"/>
          <w:sz w:val="18"/>
          <w:szCs w:val="18"/>
        </w:rPr>
        <w:t>.P.R. 162/82 (art. 4 - 1° comma, legge n. 341/90) anche i corsi previsti dalla legge n. 341/90, art. 8 e realizzati dalle università attraverso i propri consorzi anche di diritto privato nonché i corsi attivati dalle università avvalendosi della collaboraz</w:t>
      </w:r>
      <w:r>
        <w:rPr>
          <w:rFonts w:ascii="Times New Roman" w:eastAsia="Times New Roman" w:hAnsi="Times New Roman" w:cs="Times New Roman"/>
          <w:color w:val="000000"/>
          <w:sz w:val="18"/>
          <w:szCs w:val="18"/>
        </w:rPr>
        <w:t>ione di soggetti pubblici e privati con facoltà di prevedere la costituzione di apposite convenzioni (art. 8 legge n. 341/90) nonché i corsi previsti dal decreto 3.11.1999, n. 509 e successive modifiche ed integrazioni. Sono assimilati ai diplomi di specia</w:t>
      </w:r>
      <w:r>
        <w:rPr>
          <w:rFonts w:ascii="Times New Roman" w:eastAsia="Times New Roman" w:hAnsi="Times New Roman" w:cs="Times New Roman"/>
          <w:color w:val="000000"/>
          <w:sz w:val="18"/>
          <w:szCs w:val="18"/>
        </w:rPr>
        <w:t>lizzazione i diplomi di perfezionamento post-laurea, previsti dal precedente ordinamento universitario, qualora siano conseguiti a conclusione di corsi che presentino le stesse caratteristiche dei corsi di specializzazione (durata minima biennale, esami sp</w:t>
      </w:r>
      <w:r>
        <w:rPr>
          <w:rFonts w:ascii="Times New Roman" w:eastAsia="Times New Roman" w:hAnsi="Times New Roman" w:cs="Times New Roman"/>
          <w:color w:val="000000"/>
          <w:sz w:val="18"/>
          <w:szCs w:val="18"/>
        </w:rPr>
        <w:t>ecifici per ogni materia nel corso dei singoli anni e un esame finale).</w:t>
      </w:r>
    </w:p>
    <w:p w:rsidR="00F9241C" w:rsidRDefault="006E4B77">
      <w:pPr>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(11 bis)</w:t>
      </w:r>
      <w:r>
        <w:rPr>
          <w:rFonts w:ascii="Times New Roman" w:eastAsia="Times New Roman" w:hAnsi="Times New Roman" w:cs="Times New Roman"/>
          <w:color w:val="000000"/>
          <w:sz w:val="18"/>
          <w:szCs w:val="18"/>
        </w:rPr>
        <w:t xml:space="preserve"> Si ricorda che a norma dell’art. 10 del D.L. 1/10/73, n. 580, convertito con modificazioni nella legge n. 30/11/73, n. 766 le denominazioni di università, ateneo, politecnico,</w:t>
      </w:r>
      <w:r>
        <w:rPr>
          <w:rFonts w:ascii="Times New Roman" w:eastAsia="Times New Roman" w:hAnsi="Times New Roman" w:cs="Times New Roman"/>
          <w:color w:val="000000"/>
          <w:sz w:val="18"/>
          <w:szCs w:val="18"/>
        </w:rPr>
        <w:t xml:space="preserve"> istituto di istruzione universitaria possono essere usate soltanto dalle università statali e da quelle non statali riconosciute per rilasciare titoli aventi valore legale a norma delle disposizioni di legge. Si precisa che non rientra fra quelli valutabi</w:t>
      </w:r>
      <w:r>
        <w:rPr>
          <w:rFonts w:ascii="Times New Roman" w:eastAsia="Times New Roman" w:hAnsi="Times New Roman" w:cs="Times New Roman"/>
          <w:color w:val="000000"/>
          <w:sz w:val="18"/>
          <w:szCs w:val="18"/>
        </w:rPr>
        <w:t>li il titolo di Specializzazione per l’insegnamento ad alunni in situazione di disabilità di cui al D.P.R. 970/75, rilasciato anche con l’eventuale riferimento alla Legge 341/90 - commi 4, 6 e 8. Analogamente non si valutano i titoli rilasciati dalle Scuol</w:t>
      </w:r>
      <w:r>
        <w:rPr>
          <w:rFonts w:ascii="Times New Roman" w:eastAsia="Times New Roman" w:hAnsi="Times New Roman" w:cs="Times New Roman"/>
          <w:color w:val="000000"/>
          <w:sz w:val="18"/>
          <w:szCs w:val="18"/>
        </w:rPr>
        <w:t>e di Specializzazione per l’insegnamento nella scuola secondaria (SISS). Detti titoli non possono essere, infatti, considerati titoli generali aggiuntivi in quanto validi sia per l’accesso ai ruoli sia per il passaggio.</w:t>
      </w:r>
    </w:p>
    <w:p w:rsidR="00F9241C" w:rsidRDefault="006E4B77">
      <w:pPr>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(12)</w:t>
      </w:r>
      <w:r>
        <w:rPr>
          <w:rFonts w:ascii="Times New Roman" w:eastAsia="Times New Roman" w:hAnsi="Times New Roman" w:cs="Times New Roman"/>
          <w:color w:val="000000"/>
          <w:sz w:val="18"/>
          <w:szCs w:val="18"/>
        </w:rPr>
        <w:t xml:space="preserve"> Il punteggio spetta per il tito</w:t>
      </w:r>
      <w:r>
        <w:rPr>
          <w:rFonts w:ascii="Times New Roman" w:eastAsia="Times New Roman" w:hAnsi="Times New Roman" w:cs="Times New Roman"/>
          <w:color w:val="000000"/>
          <w:sz w:val="18"/>
          <w:szCs w:val="18"/>
        </w:rPr>
        <w:t xml:space="preserve">lo aggiuntivo a quello necessario per l’accesso al ruolo d’appartenenza o per il conseguimento del passaggio richiesto. Il diploma di laurea in scienze motorie non dà diritto ad avvalersi di ulteriore punteggio rispetto al diploma di Istituto Superiore di </w:t>
      </w:r>
      <w:r>
        <w:rPr>
          <w:rFonts w:ascii="Times New Roman" w:eastAsia="Times New Roman" w:hAnsi="Times New Roman" w:cs="Times New Roman"/>
          <w:color w:val="000000"/>
          <w:sz w:val="18"/>
          <w:szCs w:val="18"/>
        </w:rPr>
        <w:t xml:space="preserve">Educazione Fisica (ISEF). La laurea triennale o di I livello che consente l’accesso alla laurea specialistica o magistrale non dà diritto ad avvalersi di ulteriore punteggio rispetto a queste ultime. Analogamente il diploma accademico di primo livello non </w:t>
      </w:r>
      <w:r>
        <w:rPr>
          <w:rFonts w:ascii="Times New Roman" w:eastAsia="Times New Roman" w:hAnsi="Times New Roman" w:cs="Times New Roman"/>
          <w:color w:val="000000"/>
          <w:sz w:val="18"/>
          <w:szCs w:val="18"/>
        </w:rPr>
        <w:t>dà diritto ad avvalersi di ulteriore punteggio rispetto al diploma accademico del medesimo secondo livello. Il diploma di laurea in scienze della formazione primaria non si valuta in quanto è un titolo richiesto per l’accesso al ruolo di appartenenza. Pert</w:t>
      </w:r>
      <w:r>
        <w:rPr>
          <w:rFonts w:ascii="Times New Roman" w:eastAsia="Times New Roman" w:hAnsi="Times New Roman" w:cs="Times New Roman"/>
          <w:color w:val="000000"/>
          <w:sz w:val="18"/>
          <w:szCs w:val="18"/>
        </w:rPr>
        <w:t>anto alla laurea in scienze della formazione primaria con indirizzo-infanzia, titolo non utile ai fini dell’accesso al ruolo della scuola primaria, deve essere attribuito il punteggio di n. 5 punti in quanto titolo aggiuntivo a quello necessario per l’acce</w:t>
      </w:r>
      <w:r>
        <w:rPr>
          <w:rFonts w:ascii="Times New Roman" w:eastAsia="Times New Roman" w:hAnsi="Times New Roman" w:cs="Times New Roman"/>
          <w:color w:val="000000"/>
          <w:sz w:val="18"/>
          <w:szCs w:val="18"/>
        </w:rPr>
        <w:t>sso al ruolo di appartenenza; ai docenti in ruolo nella scuola dell’infanzia che siano in possesso di laurea in scienze della formazione primaria con indirizzo-primaria, titolo non utile ai fini dell’accesso al ruolo della scuola dell’infanzia, verrà ricon</w:t>
      </w:r>
      <w:r>
        <w:rPr>
          <w:rFonts w:ascii="Times New Roman" w:eastAsia="Times New Roman" w:hAnsi="Times New Roman" w:cs="Times New Roman"/>
          <w:color w:val="000000"/>
          <w:sz w:val="18"/>
          <w:szCs w:val="18"/>
        </w:rPr>
        <w:t>osciuto il punteggio di n. 5 punti in quanto titolo aggiuntivo a quello necessario per l’accesso al ruolo di appartenenza. Il diploma di laurea in Didattica della musica non si valuta: ai docenti titolari delle classi di concorso A031 e A032 in quanto tito</w:t>
      </w:r>
      <w:r>
        <w:rPr>
          <w:rFonts w:ascii="Times New Roman" w:eastAsia="Times New Roman" w:hAnsi="Times New Roman" w:cs="Times New Roman"/>
          <w:color w:val="000000"/>
          <w:sz w:val="18"/>
          <w:szCs w:val="18"/>
        </w:rPr>
        <w:t xml:space="preserve">lo richiesto per l’accesso al ruolo di appartenenza; ai docenti titolari della classe di concorso A077 qualora riconosciuto come titolo valido </w:t>
      </w:r>
      <w:proofErr w:type="spellStart"/>
      <w:r>
        <w:rPr>
          <w:rFonts w:ascii="Times New Roman" w:eastAsia="Times New Roman" w:hAnsi="Times New Roman" w:cs="Times New Roman"/>
          <w:color w:val="000000"/>
          <w:sz w:val="18"/>
          <w:szCs w:val="18"/>
        </w:rPr>
        <w:t>ope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legis</w:t>
      </w:r>
      <w:proofErr w:type="spellEnd"/>
      <w:r>
        <w:rPr>
          <w:rFonts w:ascii="Times New Roman" w:eastAsia="Times New Roman" w:hAnsi="Times New Roman" w:cs="Times New Roman"/>
          <w:color w:val="000000"/>
          <w:sz w:val="18"/>
          <w:szCs w:val="18"/>
        </w:rPr>
        <w:t xml:space="preserve"> ai fini dell’accesso a tale classe di concorso (art. 1, comma 2 bis del D.L. 3 luglio 2001, n. 255, con</w:t>
      </w:r>
      <w:r>
        <w:rPr>
          <w:rFonts w:ascii="Times New Roman" w:eastAsia="Times New Roman" w:hAnsi="Times New Roman" w:cs="Times New Roman"/>
          <w:color w:val="000000"/>
          <w:sz w:val="18"/>
          <w:szCs w:val="18"/>
        </w:rPr>
        <w:t>vertito con modificazioni dalla L. n. 333/2001; art. 2, comma 4 bis del D.L. n. 97/2004, convertito con modificazioni dalla L. n. 143/2004; art. 1, comma 605 L. n. 296/2006).</w:t>
      </w:r>
    </w:p>
    <w:p w:rsidR="00F9241C" w:rsidRDefault="006E4B77">
      <w:pPr>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(13)</w:t>
      </w:r>
      <w:r>
        <w:rPr>
          <w:rFonts w:ascii="Times New Roman" w:eastAsia="Times New Roman" w:hAnsi="Times New Roman" w:cs="Times New Roman"/>
          <w:color w:val="000000"/>
          <w:sz w:val="18"/>
          <w:szCs w:val="18"/>
        </w:rPr>
        <w:t xml:space="preserve"> Il punteggio può essere attribuito anche al personale diplomato.</w:t>
      </w:r>
    </w:p>
    <w:p w:rsidR="00F9241C" w:rsidRDefault="006E4B77">
      <w:pPr>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(14)</w:t>
      </w:r>
      <w:r>
        <w:rPr>
          <w:rFonts w:ascii="Times New Roman" w:eastAsia="Times New Roman" w:hAnsi="Times New Roman" w:cs="Times New Roman"/>
          <w:color w:val="000000"/>
          <w:sz w:val="18"/>
          <w:szCs w:val="18"/>
        </w:rPr>
        <w:t xml:space="preserve"> I cors</w:t>
      </w:r>
      <w:r>
        <w:rPr>
          <w:rFonts w:ascii="Times New Roman" w:eastAsia="Times New Roman" w:hAnsi="Times New Roman" w:cs="Times New Roman"/>
          <w:color w:val="000000"/>
          <w:sz w:val="18"/>
          <w:szCs w:val="18"/>
        </w:rPr>
        <w:t>i tenuti a decorrere dall’anno accademico 2005/06 saranno valutati esclusivamente se di durata annuale, con 1500 ore complessive di impegno, con un riconoscimento di 60 CFU e con esame finale.</w:t>
      </w:r>
    </w:p>
    <w:p w:rsidR="00F9241C" w:rsidRDefault="006E4B77">
      <w:pPr>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(15)</w:t>
      </w:r>
      <w:r>
        <w:rPr>
          <w:rFonts w:ascii="Times New Roman" w:eastAsia="Times New Roman" w:hAnsi="Times New Roman" w:cs="Times New Roman"/>
          <w:color w:val="000000"/>
          <w:sz w:val="18"/>
          <w:szCs w:val="18"/>
        </w:rPr>
        <w:t xml:space="preserve"> Limitatamente alla mobilità nell’ambito dell’insegnamento </w:t>
      </w:r>
      <w:r>
        <w:rPr>
          <w:rFonts w:ascii="Times New Roman" w:eastAsia="Times New Roman" w:hAnsi="Times New Roman" w:cs="Times New Roman"/>
          <w:color w:val="000000"/>
          <w:sz w:val="18"/>
          <w:szCs w:val="18"/>
        </w:rPr>
        <w:t>della religione cattolica sono considerati validi i titoli previsti dal D.P.R. 751/85 e specificati dal DM 15.7.87 e successive modificazioni ed integrazioni.</w:t>
      </w:r>
    </w:p>
    <w:p w:rsidR="00F9241C" w:rsidRDefault="006E4B77">
      <w:pPr>
        <w:pBdr>
          <w:top w:val="nil"/>
          <w:left w:val="nil"/>
          <w:bottom w:val="nil"/>
          <w:right w:val="nil"/>
          <w:between w:val="nil"/>
        </w:pBdr>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sz w:val="18"/>
          <w:szCs w:val="18"/>
          <w:vertAlign w:val="superscript"/>
        </w:rPr>
        <w:t>(16)</w:t>
      </w:r>
      <w:r>
        <w:rPr>
          <w:rFonts w:ascii="Times New Roman" w:eastAsia="Times New Roman" w:hAnsi="Times New Roman" w:cs="Times New Roman"/>
          <w:color w:val="000000"/>
          <w:sz w:val="18"/>
          <w:szCs w:val="18"/>
        </w:rPr>
        <w:t xml:space="preserve"> Il punteggio viene attribuito per il conseguimento di un solo titolo linguistico.</w:t>
      </w:r>
    </w:p>
    <w:sectPr w:rsidR="00F9241C">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4"/>
  </w:compat>
  <w:rsids>
    <w:rsidRoot w:val="00F9241C"/>
    <w:rsid w:val="006E4B77"/>
    <w:rsid w:val="00F924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0C49"/>
  </w:style>
  <w:style w:type="paragraph" w:styleId="Titolo1">
    <w:name w:val="heading 1"/>
    <w:basedOn w:val="Normale1"/>
    <w:next w:val="Normale1"/>
    <w:rsid w:val="00171DE6"/>
    <w:pPr>
      <w:keepNext/>
      <w:keepLines/>
      <w:spacing w:before="480" w:after="120"/>
      <w:outlineLvl w:val="0"/>
    </w:pPr>
    <w:rPr>
      <w:b/>
      <w:sz w:val="48"/>
      <w:szCs w:val="48"/>
    </w:rPr>
  </w:style>
  <w:style w:type="paragraph" w:styleId="Titolo2">
    <w:name w:val="heading 2"/>
    <w:basedOn w:val="Normale1"/>
    <w:next w:val="Normale1"/>
    <w:rsid w:val="00171DE6"/>
    <w:pPr>
      <w:keepNext/>
      <w:keepLines/>
      <w:spacing w:before="360" w:after="80"/>
      <w:outlineLvl w:val="1"/>
    </w:pPr>
    <w:rPr>
      <w:b/>
      <w:sz w:val="36"/>
      <w:szCs w:val="36"/>
    </w:rPr>
  </w:style>
  <w:style w:type="paragraph" w:styleId="Titolo3">
    <w:name w:val="heading 3"/>
    <w:basedOn w:val="Normale1"/>
    <w:next w:val="Normale1"/>
    <w:rsid w:val="00171DE6"/>
    <w:pPr>
      <w:keepNext/>
      <w:keepLines/>
      <w:spacing w:before="280" w:after="80"/>
      <w:outlineLvl w:val="2"/>
    </w:pPr>
    <w:rPr>
      <w:b/>
      <w:sz w:val="28"/>
      <w:szCs w:val="28"/>
    </w:rPr>
  </w:style>
  <w:style w:type="paragraph" w:styleId="Titolo4">
    <w:name w:val="heading 4"/>
    <w:basedOn w:val="Normale1"/>
    <w:next w:val="Normale1"/>
    <w:rsid w:val="00171DE6"/>
    <w:pPr>
      <w:keepNext/>
      <w:keepLines/>
      <w:spacing w:before="240" w:after="40"/>
      <w:outlineLvl w:val="3"/>
    </w:pPr>
    <w:rPr>
      <w:b/>
      <w:sz w:val="24"/>
      <w:szCs w:val="24"/>
    </w:rPr>
  </w:style>
  <w:style w:type="paragraph" w:styleId="Titolo5">
    <w:name w:val="heading 5"/>
    <w:basedOn w:val="Normale1"/>
    <w:next w:val="Normale1"/>
    <w:rsid w:val="00171DE6"/>
    <w:pPr>
      <w:keepNext/>
      <w:keepLines/>
      <w:spacing w:before="220" w:after="40"/>
      <w:outlineLvl w:val="4"/>
    </w:pPr>
    <w:rPr>
      <w:b/>
      <w:sz w:val="22"/>
      <w:szCs w:val="22"/>
    </w:rPr>
  </w:style>
  <w:style w:type="paragraph" w:styleId="Titolo6">
    <w:name w:val="heading 6"/>
    <w:basedOn w:val="Normale1"/>
    <w:next w:val="Normale1"/>
    <w:rsid w:val="00171DE6"/>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1"/>
    <w:next w:val="Normale1"/>
    <w:rsid w:val="00171DE6"/>
    <w:pPr>
      <w:keepNext/>
      <w:keepLines/>
      <w:spacing w:before="480" w:after="120"/>
    </w:pPr>
    <w:rPr>
      <w:b/>
      <w:sz w:val="72"/>
      <w:szCs w:val="72"/>
    </w:rPr>
  </w:style>
  <w:style w:type="paragraph" w:customStyle="1" w:styleId="Normale1">
    <w:name w:val="Normale1"/>
    <w:rsid w:val="00171DE6"/>
  </w:style>
  <w:style w:type="table" w:customStyle="1" w:styleId="TableNormal0">
    <w:name w:val="Table Normal"/>
    <w:rsid w:val="00171DE6"/>
    <w:tblPr>
      <w:tblCellMar>
        <w:top w:w="0" w:type="dxa"/>
        <w:left w:w="0" w:type="dxa"/>
        <w:bottom w:w="0" w:type="dxa"/>
        <w:right w:w="0" w:type="dxa"/>
      </w:tblCellMar>
    </w:tbl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rsid w:val="00171DE6"/>
    <w:tblPr>
      <w:tblStyleRowBandSize w:val="1"/>
      <w:tblStyleColBandSize w:val="1"/>
      <w:tblCellMar>
        <w:top w:w="0" w:type="dxa"/>
        <w:left w:w="0" w:type="dxa"/>
        <w:bottom w:w="0" w:type="dxa"/>
        <w:right w:w="0" w:type="dxa"/>
      </w:tblCellMar>
    </w:tblPr>
  </w:style>
  <w:style w:type="table" w:customStyle="1" w:styleId="a0">
    <w:basedOn w:val="TableNormal0"/>
    <w:rsid w:val="00171DE6"/>
    <w:tblPr>
      <w:tblStyleRowBandSize w:val="1"/>
      <w:tblStyleColBandSize w:val="1"/>
      <w:tblCellMar>
        <w:top w:w="0" w:type="dxa"/>
        <w:left w:w="0" w:type="dxa"/>
        <w:bottom w:w="0" w:type="dxa"/>
        <w:right w:w="0" w:type="dxa"/>
      </w:tblCellMar>
    </w:tblPr>
  </w:style>
  <w:style w:type="table" w:customStyle="1" w:styleId="a1">
    <w:basedOn w:val="TableNormal0"/>
    <w:rsid w:val="00171DE6"/>
    <w:tblPr>
      <w:tblStyleRowBandSize w:val="1"/>
      <w:tblStyleColBandSize w:val="1"/>
      <w:tblCellMar>
        <w:top w:w="0" w:type="dxa"/>
        <w:left w:w="0" w:type="dxa"/>
        <w:bottom w:w="0" w:type="dxa"/>
        <w:right w:w="0" w:type="dxa"/>
      </w:tblCellMar>
    </w:tblPr>
  </w:style>
  <w:style w:type="table" w:customStyle="1" w:styleId="a2">
    <w:basedOn w:val="TableNormal0"/>
    <w:tblPr>
      <w:tblStyleRowBandSize w:val="1"/>
      <w:tblStyleColBandSize w:val="1"/>
      <w:tblCellMar>
        <w:top w:w="0" w:type="dxa"/>
        <w:left w:w="0" w:type="dxa"/>
        <w:bottom w:w="0" w:type="dxa"/>
        <w:right w:w="0" w:type="dxa"/>
      </w:tblCellMar>
    </w:tblPr>
  </w:style>
  <w:style w:type="table" w:customStyle="1" w:styleId="a3">
    <w:basedOn w:val="TableNormal0"/>
    <w:tblPr>
      <w:tblStyleRowBandSize w:val="1"/>
      <w:tblStyleColBandSize w:val="1"/>
      <w:tblCellMar>
        <w:top w:w="0" w:type="dxa"/>
        <w:left w:w="0" w:type="dxa"/>
        <w:bottom w:w="0" w:type="dxa"/>
        <w:right w:w="0" w:type="dxa"/>
      </w:tblCellMar>
    </w:tblPr>
  </w:style>
  <w:style w:type="table" w:customStyle="1" w:styleId="a4">
    <w:basedOn w:val="TableNormal0"/>
    <w:tblPr>
      <w:tblStyleRowBandSize w:val="1"/>
      <w:tblStyleColBandSize w:val="1"/>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0C49"/>
  </w:style>
  <w:style w:type="paragraph" w:styleId="Titolo1">
    <w:name w:val="heading 1"/>
    <w:basedOn w:val="Normale1"/>
    <w:next w:val="Normale1"/>
    <w:rsid w:val="00171DE6"/>
    <w:pPr>
      <w:keepNext/>
      <w:keepLines/>
      <w:spacing w:before="480" w:after="120"/>
      <w:outlineLvl w:val="0"/>
    </w:pPr>
    <w:rPr>
      <w:b/>
      <w:sz w:val="48"/>
      <w:szCs w:val="48"/>
    </w:rPr>
  </w:style>
  <w:style w:type="paragraph" w:styleId="Titolo2">
    <w:name w:val="heading 2"/>
    <w:basedOn w:val="Normale1"/>
    <w:next w:val="Normale1"/>
    <w:rsid w:val="00171DE6"/>
    <w:pPr>
      <w:keepNext/>
      <w:keepLines/>
      <w:spacing w:before="360" w:after="80"/>
      <w:outlineLvl w:val="1"/>
    </w:pPr>
    <w:rPr>
      <w:b/>
      <w:sz w:val="36"/>
      <w:szCs w:val="36"/>
    </w:rPr>
  </w:style>
  <w:style w:type="paragraph" w:styleId="Titolo3">
    <w:name w:val="heading 3"/>
    <w:basedOn w:val="Normale1"/>
    <w:next w:val="Normale1"/>
    <w:rsid w:val="00171DE6"/>
    <w:pPr>
      <w:keepNext/>
      <w:keepLines/>
      <w:spacing w:before="280" w:after="80"/>
      <w:outlineLvl w:val="2"/>
    </w:pPr>
    <w:rPr>
      <w:b/>
      <w:sz w:val="28"/>
      <w:szCs w:val="28"/>
    </w:rPr>
  </w:style>
  <w:style w:type="paragraph" w:styleId="Titolo4">
    <w:name w:val="heading 4"/>
    <w:basedOn w:val="Normale1"/>
    <w:next w:val="Normale1"/>
    <w:rsid w:val="00171DE6"/>
    <w:pPr>
      <w:keepNext/>
      <w:keepLines/>
      <w:spacing w:before="240" w:after="40"/>
      <w:outlineLvl w:val="3"/>
    </w:pPr>
    <w:rPr>
      <w:b/>
      <w:sz w:val="24"/>
      <w:szCs w:val="24"/>
    </w:rPr>
  </w:style>
  <w:style w:type="paragraph" w:styleId="Titolo5">
    <w:name w:val="heading 5"/>
    <w:basedOn w:val="Normale1"/>
    <w:next w:val="Normale1"/>
    <w:rsid w:val="00171DE6"/>
    <w:pPr>
      <w:keepNext/>
      <w:keepLines/>
      <w:spacing w:before="220" w:after="40"/>
      <w:outlineLvl w:val="4"/>
    </w:pPr>
    <w:rPr>
      <w:b/>
      <w:sz w:val="22"/>
      <w:szCs w:val="22"/>
    </w:rPr>
  </w:style>
  <w:style w:type="paragraph" w:styleId="Titolo6">
    <w:name w:val="heading 6"/>
    <w:basedOn w:val="Normale1"/>
    <w:next w:val="Normale1"/>
    <w:rsid w:val="00171DE6"/>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1"/>
    <w:next w:val="Normale1"/>
    <w:rsid w:val="00171DE6"/>
    <w:pPr>
      <w:keepNext/>
      <w:keepLines/>
      <w:spacing w:before="480" w:after="120"/>
    </w:pPr>
    <w:rPr>
      <w:b/>
      <w:sz w:val="72"/>
      <w:szCs w:val="72"/>
    </w:rPr>
  </w:style>
  <w:style w:type="paragraph" w:customStyle="1" w:styleId="Normale1">
    <w:name w:val="Normale1"/>
    <w:rsid w:val="00171DE6"/>
  </w:style>
  <w:style w:type="table" w:customStyle="1" w:styleId="TableNormal0">
    <w:name w:val="Table Normal"/>
    <w:rsid w:val="00171DE6"/>
    <w:tblPr>
      <w:tblCellMar>
        <w:top w:w="0" w:type="dxa"/>
        <w:left w:w="0" w:type="dxa"/>
        <w:bottom w:w="0" w:type="dxa"/>
        <w:right w:w="0" w:type="dxa"/>
      </w:tblCellMar>
    </w:tbl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rsid w:val="00171DE6"/>
    <w:tblPr>
      <w:tblStyleRowBandSize w:val="1"/>
      <w:tblStyleColBandSize w:val="1"/>
      <w:tblCellMar>
        <w:top w:w="0" w:type="dxa"/>
        <w:left w:w="0" w:type="dxa"/>
        <w:bottom w:w="0" w:type="dxa"/>
        <w:right w:w="0" w:type="dxa"/>
      </w:tblCellMar>
    </w:tblPr>
  </w:style>
  <w:style w:type="table" w:customStyle="1" w:styleId="a0">
    <w:basedOn w:val="TableNormal0"/>
    <w:rsid w:val="00171DE6"/>
    <w:tblPr>
      <w:tblStyleRowBandSize w:val="1"/>
      <w:tblStyleColBandSize w:val="1"/>
      <w:tblCellMar>
        <w:top w:w="0" w:type="dxa"/>
        <w:left w:w="0" w:type="dxa"/>
        <w:bottom w:w="0" w:type="dxa"/>
        <w:right w:w="0" w:type="dxa"/>
      </w:tblCellMar>
    </w:tblPr>
  </w:style>
  <w:style w:type="table" w:customStyle="1" w:styleId="a1">
    <w:basedOn w:val="TableNormal0"/>
    <w:rsid w:val="00171DE6"/>
    <w:tblPr>
      <w:tblStyleRowBandSize w:val="1"/>
      <w:tblStyleColBandSize w:val="1"/>
      <w:tblCellMar>
        <w:top w:w="0" w:type="dxa"/>
        <w:left w:w="0" w:type="dxa"/>
        <w:bottom w:w="0" w:type="dxa"/>
        <w:right w:w="0" w:type="dxa"/>
      </w:tblCellMar>
    </w:tblPr>
  </w:style>
  <w:style w:type="table" w:customStyle="1" w:styleId="a2">
    <w:basedOn w:val="TableNormal0"/>
    <w:tblPr>
      <w:tblStyleRowBandSize w:val="1"/>
      <w:tblStyleColBandSize w:val="1"/>
      <w:tblCellMar>
        <w:top w:w="0" w:type="dxa"/>
        <w:left w:w="0" w:type="dxa"/>
        <w:bottom w:w="0" w:type="dxa"/>
        <w:right w:w="0" w:type="dxa"/>
      </w:tblCellMar>
    </w:tblPr>
  </w:style>
  <w:style w:type="table" w:customStyle="1" w:styleId="a3">
    <w:basedOn w:val="TableNormal0"/>
    <w:tblPr>
      <w:tblStyleRowBandSize w:val="1"/>
      <w:tblStyleColBandSize w:val="1"/>
      <w:tblCellMar>
        <w:top w:w="0" w:type="dxa"/>
        <w:left w:w="0" w:type="dxa"/>
        <w:bottom w:w="0" w:type="dxa"/>
        <w:right w:w="0" w:type="dxa"/>
      </w:tblCellMar>
    </w:tblPr>
  </w:style>
  <w:style w:type="table" w:customStyle="1" w:styleId="a4">
    <w:basedOn w:val="TableNormal0"/>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iDdmHjPSO/AMcTV2Cg747TLGuag==">AMUW2mWw5AfUWWVgxPdW2kX2fDh9jt8ORyJx9CuhhmIZNTI+mGWDCjUHq38A8O7+WA3GCXQ/dXJkUGvxS0xmIjWvXMrN2C4HERVPyqQD83kbH7tWXYfB5gkxMUZ84U+F257NwNWvocUd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8070</Words>
  <Characters>46003</Characters>
  <Application>Microsoft Office Word</Application>
  <DocSecurity>0</DocSecurity>
  <Lines>383</Lines>
  <Paragraphs>107</Paragraphs>
  <ScaleCrop>false</ScaleCrop>
  <Company>HP</Company>
  <LinksUpToDate>false</LinksUpToDate>
  <CharactersWithSpaces>53966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Prof.ssa Lucia Sala</dc:creator>
  <cp:lastModifiedBy>Profssa Sala</cp:lastModifiedBy>
  <cp:revision>3</cp:revision>
  <dcterms:created xsi:type="dcterms:W3CDTF">2022-03-21T14:52:00Z</dcterms:created>
  <dcterms:modified xsi:type="dcterms:W3CDTF">2024-03-11T13:50:00Z</dcterms:modified>
</cp:coreProperties>
</file>